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B510A" w:rsidP="00112F44">
      <w:pPr>
        <w:jc w:val="center"/>
        <w:rPr>
          <w:snapToGrid w:val="0"/>
        </w:rPr>
      </w:pPr>
      <w:r w:rsidRPr="000429C2">
        <w:rPr>
          <w:noProof/>
        </w:rPr>
        <w:drawing>
          <wp:inline distT="0" distB="0" distL="0" distR="0">
            <wp:extent cx="819150" cy="870995"/>
            <wp:effectExtent l="0" t="0" r="0" b="5715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38" cy="8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CB4B3A" w:rsidRDefault="00893931" w:rsidP="00112F44">
      <w:pPr>
        <w:jc w:val="center"/>
        <w:rPr>
          <w:b/>
          <w:sz w:val="20"/>
        </w:rPr>
      </w:pPr>
    </w:p>
    <w:p w:rsidR="00661274" w:rsidRPr="00B3020B" w:rsidRDefault="004C092B" w:rsidP="004C092B">
      <w:pPr>
        <w:jc w:val="center"/>
        <w:rPr>
          <w:b/>
          <w:bCs/>
          <w:spacing w:val="-22"/>
          <w:sz w:val="40"/>
          <w:szCs w:val="40"/>
        </w:rPr>
      </w:pPr>
      <w:r w:rsidRPr="00B3020B">
        <w:rPr>
          <w:b/>
          <w:bCs/>
          <w:spacing w:val="-22"/>
          <w:sz w:val="40"/>
          <w:szCs w:val="40"/>
        </w:rPr>
        <w:t xml:space="preserve">ПРАВИТЕЛЬСТВО </w:t>
      </w:r>
      <w:r w:rsidR="00765C2E" w:rsidRPr="00B3020B">
        <w:rPr>
          <w:b/>
          <w:bCs/>
          <w:spacing w:val="-22"/>
          <w:sz w:val="40"/>
          <w:szCs w:val="40"/>
        </w:rPr>
        <w:t>САМАРСКОЙ ОБЛАСТИ</w:t>
      </w:r>
    </w:p>
    <w:p w:rsidR="009F1229" w:rsidRPr="00B3020B" w:rsidRDefault="009F1229" w:rsidP="00C70F6C">
      <w:pPr>
        <w:jc w:val="center"/>
        <w:rPr>
          <w:spacing w:val="-22"/>
          <w:sz w:val="16"/>
          <w:szCs w:val="16"/>
        </w:rPr>
      </w:pPr>
    </w:p>
    <w:p w:rsidR="00661274" w:rsidRPr="00B3020B" w:rsidRDefault="00F27E41" w:rsidP="00112F44">
      <w:pPr>
        <w:jc w:val="center"/>
        <w:rPr>
          <w:spacing w:val="-22"/>
          <w:sz w:val="36"/>
          <w:szCs w:val="36"/>
        </w:rPr>
      </w:pPr>
      <w:r w:rsidRPr="00B3020B">
        <w:rPr>
          <w:spacing w:val="-22"/>
          <w:sz w:val="36"/>
          <w:szCs w:val="36"/>
        </w:rPr>
        <w:t xml:space="preserve">ПОСТАНОВЛЕНИЕ </w:t>
      </w:r>
    </w:p>
    <w:sdt>
      <w:sdtPr>
        <w:rPr>
          <w:color w:val="FFFFFF" w:themeColor="background1"/>
          <w:sz w:val="10"/>
          <w:szCs w:val="10"/>
        </w:rPr>
        <w:id w:val="1993519049"/>
        <w:lock w:val="contentLocked"/>
        <w:placeholder>
          <w:docPart w:val="B714EFE7162D47968C2C8DFA8C86BFE4"/>
        </w:placeholder>
        <w:group/>
      </w:sdtPr>
      <w:sdtEndPr>
        <w:rPr>
          <w:rFonts w:ascii="Tahoma" w:hAnsi="Tahoma" w:cs="Tahoma"/>
          <w:sz w:val="4"/>
          <w:szCs w:val="4"/>
        </w:rPr>
      </w:sdtEndPr>
      <w:sdtContent>
        <w:p w:rsidR="00715400" w:rsidRPr="007D4C22" w:rsidRDefault="00715400" w:rsidP="00715400">
          <w:pPr>
            <w:ind w:right="-1551" w:firstLine="2410"/>
            <w:rPr>
              <w:color w:val="FFFFFF" w:themeColor="background1"/>
              <w:sz w:val="10"/>
              <w:szCs w:val="10"/>
            </w:rPr>
          </w:pPr>
        </w:p>
        <w:p w:rsidR="00715400" w:rsidRDefault="00715400" w:rsidP="007E3B57">
          <w:pPr>
            <w:ind w:firstLine="3261"/>
            <w:rPr>
              <w:rFonts w:ascii="Tahoma" w:hAnsi="Tahoma" w:cs="Tahoma"/>
              <w:color w:val="FFFFFF" w:themeColor="background1"/>
              <w:sz w:val="4"/>
              <w:szCs w:val="4"/>
            </w:rPr>
          </w:pPr>
          <w:r w:rsidRPr="007D4C22">
            <w:rPr>
              <w:rFonts w:ascii="Tahoma" w:hAnsi="Tahoma" w:cs="Tahoma"/>
              <w:color w:val="FFFFFF" w:themeColor="background1"/>
              <w:sz w:val="4"/>
              <w:szCs w:val="4"/>
            </w:rPr>
            <w:t>[МЕСТО ДЛЯ ШТАМПА]</w:t>
          </w:r>
        </w:p>
      </w:sdtContent>
    </w:sdt>
    <w:p w:rsidR="00CB4B3A" w:rsidRPr="00CB4B3A" w:rsidRDefault="00CB4B3A" w:rsidP="00CB4B3A">
      <w:pPr>
        <w:spacing w:line="360" w:lineRule="auto"/>
        <w:jc w:val="center"/>
        <w:rPr>
          <w:sz w:val="20"/>
        </w:rPr>
      </w:pPr>
      <w:r w:rsidRPr="00CB4B3A">
        <w:rPr>
          <w:sz w:val="20"/>
        </w:rPr>
        <w:t>от____________________№_____________</w:t>
      </w:r>
    </w:p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9728C7" w:rsidRDefault="009728C7" w:rsidP="00B14785">
      <w:pPr>
        <w:ind w:firstLine="709"/>
        <w:rPr>
          <w:szCs w:val="28"/>
        </w:rPr>
      </w:pPr>
    </w:p>
    <w:p w:rsidR="0014625D" w:rsidRDefault="0014625D" w:rsidP="00B14785">
      <w:pPr>
        <w:ind w:firstLine="709"/>
        <w:rPr>
          <w:szCs w:val="28"/>
        </w:rPr>
      </w:pPr>
    </w:p>
    <w:p w:rsidR="00D90693" w:rsidRDefault="00D90693" w:rsidP="00D9069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Самарской области от 30.12.2013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 xml:space="preserve"> 843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</w:p>
    <w:p w:rsidR="00D90693" w:rsidRDefault="00D90693" w:rsidP="00D90693">
      <w:pPr>
        <w:rPr>
          <w:szCs w:val="28"/>
        </w:rPr>
      </w:pPr>
    </w:p>
    <w:p w:rsidR="00D90693" w:rsidRDefault="00D90693" w:rsidP="00D90693">
      <w:pPr>
        <w:rPr>
          <w:szCs w:val="28"/>
        </w:rPr>
      </w:pPr>
    </w:p>
    <w:p w:rsidR="00D90693" w:rsidRPr="00E24098" w:rsidRDefault="00D90693" w:rsidP="00D90693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E24098">
        <w:rPr>
          <w:color w:val="000000" w:themeColor="text1"/>
          <w:szCs w:val="28"/>
        </w:rPr>
        <w:t xml:space="preserve">В целях реализации Федерального </w:t>
      </w:r>
      <w:hyperlink r:id="rId10">
        <w:r w:rsidRPr="00E24098">
          <w:rPr>
            <w:color w:val="000000" w:themeColor="text1"/>
            <w:szCs w:val="28"/>
          </w:rPr>
          <w:t>закона</w:t>
        </w:r>
      </w:hyperlink>
      <w:r w:rsidRPr="00E24098">
        <w:rPr>
          <w:color w:val="000000" w:themeColor="text1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Правительство Самарской области ПОСТАНОВЛЯЕТ:</w:t>
      </w:r>
    </w:p>
    <w:p w:rsidR="00D90693" w:rsidRDefault="00D90693" w:rsidP="00D90693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Внести в постановление </w:t>
      </w:r>
      <w:r w:rsidRPr="00E24098">
        <w:rPr>
          <w:color w:val="000000" w:themeColor="text1"/>
          <w:szCs w:val="28"/>
        </w:rPr>
        <w:t xml:space="preserve">Правительства Самарской области от 30.12.2013 </w:t>
      </w:r>
      <w:r>
        <w:rPr>
          <w:color w:val="000000" w:themeColor="text1"/>
          <w:szCs w:val="28"/>
        </w:rPr>
        <w:t>№</w:t>
      </w:r>
      <w:r w:rsidRPr="00E24098">
        <w:rPr>
          <w:color w:val="000000" w:themeColor="text1"/>
          <w:szCs w:val="28"/>
        </w:rPr>
        <w:t xml:space="preserve"> 843 </w:t>
      </w:r>
      <w:r>
        <w:rPr>
          <w:color w:val="000000" w:themeColor="text1"/>
          <w:szCs w:val="28"/>
        </w:rPr>
        <w:t>«</w:t>
      </w:r>
      <w:r w:rsidRPr="00E24098">
        <w:rPr>
          <w:color w:val="000000" w:themeColor="text1"/>
          <w:szCs w:val="28"/>
        </w:rPr>
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>
        <w:rPr>
          <w:color w:val="000000" w:themeColor="text1"/>
          <w:szCs w:val="28"/>
        </w:rPr>
        <w:t>»</w:t>
      </w:r>
      <w:r w:rsidRPr="00E24098">
        <w:rPr>
          <w:color w:val="000000" w:themeColor="text1"/>
          <w:szCs w:val="28"/>
        </w:rPr>
        <w:t xml:space="preserve"> следующие изменения:</w:t>
      </w:r>
    </w:p>
    <w:p w:rsidR="00D90693" w:rsidRDefault="00D90693" w:rsidP="00D90693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пункте 3 слова «</w:t>
      </w:r>
      <w:r w:rsidRPr="00EB66FE">
        <w:rPr>
          <w:color w:val="000000" w:themeColor="text1"/>
          <w:szCs w:val="28"/>
        </w:rPr>
        <w:t>за исключением случаев, предусмотренных отдельными постановлениями Правительства Самарской области</w:t>
      </w:r>
      <w:r>
        <w:rPr>
          <w:color w:val="000000" w:themeColor="text1"/>
          <w:szCs w:val="28"/>
        </w:rPr>
        <w:t>» заменить словами «</w:t>
      </w:r>
      <w:r w:rsidRPr="00EB66FE">
        <w:rPr>
          <w:color w:val="000000" w:themeColor="text1"/>
          <w:szCs w:val="28"/>
        </w:rPr>
        <w:t>за исключением случаев, предусмотренных частью 10 статьи 24 (если при осуществлении закупки начальная (максимальная) цена контракта не превышает один миллион рублей) и частью 1</w:t>
      </w:r>
      <w:r>
        <w:rPr>
          <w:color w:val="000000" w:themeColor="text1"/>
          <w:szCs w:val="28"/>
        </w:rPr>
        <w:t xml:space="preserve"> статьи 93 Федерального закона «</w:t>
      </w:r>
      <w:r w:rsidRPr="00EB66FE">
        <w:rPr>
          <w:color w:val="000000" w:themeColor="text1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 w:themeColor="text1"/>
          <w:szCs w:val="28"/>
        </w:rPr>
        <w:t>»</w:t>
      </w:r>
      <w:r w:rsidRPr="00EB66FE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br/>
      </w:r>
      <w:r w:rsidRPr="00EB66FE">
        <w:rPr>
          <w:color w:val="000000" w:themeColor="text1"/>
          <w:szCs w:val="28"/>
        </w:rPr>
        <w:lastRenderedPageBreak/>
        <w:t>а также иных случаев, предусмотренных отдельными постановлениями Правительства Самарской области</w:t>
      </w:r>
      <w:r>
        <w:rPr>
          <w:color w:val="000000" w:themeColor="text1"/>
          <w:szCs w:val="28"/>
        </w:rPr>
        <w:t>»;</w:t>
      </w:r>
    </w:p>
    <w:p w:rsidR="00D90693" w:rsidRDefault="00D90693" w:rsidP="00D90693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пункте 4 слова «частями 4, 4.1 и 5» заменить словами «частью 4»;</w:t>
      </w:r>
    </w:p>
    <w:p w:rsidR="00D90693" w:rsidRDefault="00D90693" w:rsidP="00D90693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Порядке </w:t>
      </w:r>
      <w:r w:rsidRPr="00E24098">
        <w:rPr>
          <w:color w:val="000000" w:themeColor="text1"/>
          <w:szCs w:val="28"/>
        </w:rPr>
        <w:t xml:space="preserve">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</w:t>
      </w:r>
      <w:r w:rsidRPr="002357E4">
        <w:rPr>
          <w:color w:val="000000" w:themeColor="text1"/>
          <w:szCs w:val="28"/>
        </w:rPr>
        <w:t>Самарской области, их подведомственных учреждений (далее – Порядок):</w:t>
      </w:r>
    </w:p>
    <w:p w:rsidR="00D90693" w:rsidRDefault="00D90693" w:rsidP="00D90693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пункте 2.8 после слов «</w:t>
      </w:r>
      <w:r w:rsidR="004A7281">
        <w:rPr>
          <w:color w:val="000000" w:themeColor="text1"/>
          <w:szCs w:val="28"/>
        </w:rPr>
        <w:t xml:space="preserve"> за днем ее поступления</w:t>
      </w:r>
      <w:r>
        <w:rPr>
          <w:color w:val="000000" w:themeColor="text1"/>
          <w:szCs w:val="28"/>
        </w:rPr>
        <w:t xml:space="preserve">» дополнить словами </w:t>
      </w:r>
      <w:r>
        <w:rPr>
          <w:color w:val="000000" w:themeColor="text1"/>
          <w:szCs w:val="28"/>
        </w:rPr>
        <w:br/>
        <w:t>«(</w:t>
      </w:r>
      <w:r w:rsidRPr="00B84AAE">
        <w:rPr>
          <w:color w:val="000000" w:themeColor="text1"/>
          <w:szCs w:val="28"/>
        </w:rPr>
        <w:t>за исключением заявки, в рамках реализации национального проекта)</w:t>
      </w:r>
      <w:r>
        <w:rPr>
          <w:color w:val="000000" w:themeColor="text1"/>
          <w:szCs w:val="28"/>
        </w:rPr>
        <w:t>»;</w:t>
      </w:r>
    </w:p>
    <w:p w:rsidR="00D90693" w:rsidRDefault="00D90693" w:rsidP="00D90693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дополнить пункт 2.8 абзацем следующего содержания:</w:t>
      </w:r>
    </w:p>
    <w:p w:rsidR="00D90693" w:rsidRDefault="00D90693" w:rsidP="00D90693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Pr="00B84AAE">
        <w:rPr>
          <w:color w:val="000000" w:themeColor="text1"/>
          <w:szCs w:val="28"/>
        </w:rPr>
        <w:t>Уполномоченный орган рассматривает поступившую от заказчика заявку в рамках реализации национального проекта в течение 5 рабочих дней, со дня, следующего за днем ее поступления.</w:t>
      </w:r>
      <w:r>
        <w:rPr>
          <w:color w:val="000000" w:themeColor="text1"/>
          <w:szCs w:val="28"/>
        </w:rPr>
        <w:t>»;</w:t>
      </w:r>
    </w:p>
    <w:p w:rsidR="004A7281" w:rsidRDefault="00D90693" w:rsidP="00D90693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пункте 2.10 после слов «</w:t>
      </w:r>
      <w:r w:rsidR="004A7281">
        <w:rPr>
          <w:color w:val="000000" w:themeColor="text1"/>
          <w:szCs w:val="28"/>
        </w:rPr>
        <w:t>за днем ее поступления</w:t>
      </w:r>
      <w:r>
        <w:rPr>
          <w:color w:val="000000" w:themeColor="text1"/>
          <w:szCs w:val="28"/>
        </w:rPr>
        <w:t xml:space="preserve">» дополнить словами </w:t>
      </w:r>
      <w:r w:rsidR="004A7281">
        <w:rPr>
          <w:color w:val="000000" w:themeColor="text1"/>
          <w:szCs w:val="28"/>
        </w:rPr>
        <w:t>«(</w:t>
      </w:r>
      <w:r w:rsidR="004A7281" w:rsidRPr="00B84AAE">
        <w:rPr>
          <w:color w:val="000000" w:themeColor="text1"/>
          <w:szCs w:val="28"/>
        </w:rPr>
        <w:t>за исключением заявки, в рамках реализации национального проекта)</w:t>
      </w:r>
      <w:r w:rsidR="004A7281">
        <w:rPr>
          <w:color w:val="000000" w:themeColor="text1"/>
          <w:szCs w:val="28"/>
        </w:rPr>
        <w:t>»;</w:t>
      </w:r>
    </w:p>
    <w:p w:rsidR="004A7281" w:rsidRDefault="004A7281" w:rsidP="004A7281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дополнить пункт 2.10 абзацем следующего содержания:</w:t>
      </w:r>
    </w:p>
    <w:p w:rsidR="00D90693" w:rsidRDefault="004A7281" w:rsidP="00D90693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D90693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 xml:space="preserve">При </w:t>
      </w:r>
      <w:r w:rsidR="00D90693" w:rsidRPr="008D55ED">
        <w:rPr>
          <w:color w:val="000000" w:themeColor="text1"/>
          <w:szCs w:val="28"/>
        </w:rPr>
        <w:t>реализации национального проекта уполномоченный орган размещает в ЕИС извещение об осуществлении закупки в срок не позднее 5 рабочих дней со дня, следующего за днем ее поступления</w:t>
      </w:r>
      <w:r>
        <w:rPr>
          <w:color w:val="000000" w:themeColor="text1"/>
          <w:szCs w:val="28"/>
        </w:rPr>
        <w:t>.</w:t>
      </w:r>
      <w:r w:rsidR="00D90693">
        <w:rPr>
          <w:color w:val="000000" w:themeColor="text1"/>
          <w:szCs w:val="28"/>
        </w:rPr>
        <w:t>»;</w:t>
      </w:r>
    </w:p>
    <w:p w:rsidR="00D90693" w:rsidRDefault="00D90693" w:rsidP="00D90693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пункте 2.11 после слов «рабочих дней» дополнить словами «,</w:t>
      </w:r>
      <w:r w:rsidRPr="00BE4DD4">
        <w:rPr>
          <w:color w:val="000000" w:themeColor="text1"/>
          <w:szCs w:val="28"/>
        </w:rPr>
        <w:t xml:space="preserve"> а</w:t>
      </w:r>
      <w:r>
        <w:rPr>
          <w:color w:val="000000" w:themeColor="text1"/>
          <w:szCs w:val="28"/>
        </w:rPr>
        <w:t xml:space="preserve"> </w:t>
      </w:r>
      <w:r w:rsidRPr="00BE4DD4">
        <w:rPr>
          <w:color w:val="000000" w:themeColor="text1"/>
          <w:szCs w:val="28"/>
        </w:rPr>
        <w:t>в случае направления заявки в рамках реализации национального проекта в течение 5 рабочих дней</w:t>
      </w:r>
      <w:r>
        <w:rPr>
          <w:color w:val="000000" w:themeColor="text1"/>
          <w:szCs w:val="28"/>
        </w:rPr>
        <w:t>»</w:t>
      </w:r>
      <w:r w:rsidR="004A7281">
        <w:rPr>
          <w:color w:val="000000" w:themeColor="text1"/>
          <w:szCs w:val="28"/>
        </w:rPr>
        <w:t>, слова «ее поступления» заменить словами «поступления заявки»</w:t>
      </w:r>
    </w:p>
    <w:p w:rsidR="00D90693" w:rsidRPr="003F60B8" w:rsidRDefault="00D90693" w:rsidP="00D9069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F60B8">
        <w:rPr>
          <w:szCs w:val="28"/>
        </w:rPr>
        <w:t xml:space="preserve">2. Опубликовать настоящее </w:t>
      </w:r>
      <w:r>
        <w:rPr>
          <w:szCs w:val="28"/>
        </w:rPr>
        <w:t>п</w:t>
      </w:r>
      <w:r w:rsidRPr="003F60B8">
        <w:rPr>
          <w:szCs w:val="28"/>
        </w:rPr>
        <w:t>остановление в средствах массовой информации.</w:t>
      </w:r>
    </w:p>
    <w:p w:rsidR="00D90693" w:rsidRDefault="00D90693" w:rsidP="00D9069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F60B8">
        <w:rPr>
          <w:szCs w:val="28"/>
        </w:rPr>
        <w:t xml:space="preserve">3. Настоящее </w:t>
      </w:r>
      <w:r>
        <w:rPr>
          <w:szCs w:val="28"/>
        </w:rPr>
        <w:t>п</w:t>
      </w:r>
      <w:r w:rsidRPr="003F60B8">
        <w:rPr>
          <w:szCs w:val="28"/>
        </w:rPr>
        <w:t>остановление вступает в силу с</w:t>
      </w:r>
      <w:r>
        <w:rPr>
          <w:szCs w:val="28"/>
        </w:rPr>
        <w:t>о дня его официального опубликования, за исключением абзаца третьего пункта 1 настоящего постановления, вступающего в силу с 1 января 2025 года</w:t>
      </w:r>
    </w:p>
    <w:p w:rsidR="00D90693" w:rsidRDefault="00D90693" w:rsidP="00D90693">
      <w:pPr>
        <w:pStyle w:val="ConsPlusNormal"/>
        <w:spacing w:line="360" w:lineRule="auto"/>
        <w:ind w:firstLine="709"/>
        <w:jc w:val="both"/>
        <w:rPr>
          <w:szCs w:val="28"/>
        </w:rPr>
      </w:pPr>
    </w:p>
    <w:tbl>
      <w:tblPr>
        <w:tblStyle w:val="a3"/>
        <w:tblW w:w="9498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402"/>
        <w:gridCol w:w="2467"/>
      </w:tblGrid>
      <w:tr w:rsidR="00E64146" w:rsidRPr="001C71B0" w:rsidTr="0063440A">
        <w:trPr>
          <w:cantSplit/>
          <w:trHeight w:val="1725"/>
        </w:trPr>
        <w:tc>
          <w:tcPr>
            <w:tcW w:w="3629" w:type="dxa"/>
            <w:tcMar>
              <w:left w:w="57" w:type="dxa"/>
              <w:right w:w="57" w:type="dxa"/>
            </w:tcMar>
          </w:tcPr>
          <w:sdt>
            <w:sdtPr>
              <w:rPr>
                <w:color w:val="FF0000"/>
                <w:spacing w:val="-4"/>
                <w:position w:val="-14"/>
                <w:sz w:val="28"/>
                <w:szCs w:val="28"/>
              </w:rPr>
              <w:id w:val="-1554078046"/>
              <w:placeholder>
                <w:docPart w:val="0550BFCEA95E4310B8D19560B4464C22"/>
              </w:placeholder>
            </w:sdtPr>
            <w:sdtEndPr/>
            <w:sdtContent>
              <w:sdt>
                <w:sdtPr>
                  <w:rPr>
                    <w:spacing w:val="-4"/>
                    <w:position w:val="-14"/>
                    <w:sz w:val="28"/>
                    <w:szCs w:val="28"/>
                  </w:rPr>
                  <w:id w:val="2125494359"/>
                  <w:placeholder>
                    <w:docPart w:val="36667D2DC5DE47A0BACDD9A6B3476F91"/>
                  </w:placeholder>
                  <w:comboBox>
                    <w:listItem w:value="Выберите элемент."/>
                    <w:listItem w:displayText="Первый                                  вице-губернатор – председатель Правительства Самарской области " w:value="Первый                                  вице-губернатор – председатель Правительства Самарской области "/>
                    <w:listItem w:displayText="И.о. первого                          вице-губернатора – председателя Правительства Самарской области " w:value="И.о. первого                          вице-губернатора – председателя Правительства Самарской области "/>
                  </w:comboBox>
                </w:sdtPr>
                <w:sdtEndPr/>
                <w:sdtContent>
                  <w:p w:rsidR="00E64146" w:rsidRPr="00DF5503" w:rsidRDefault="005276F1" w:rsidP="00260FB9">
                    <w:pPr>
                      <w:pStyle w:val="a8"/>
                      <w:spacing w:after="0"/>
                      <w:ind w:left="20" w:firstLine="62"/>
                      <w:jc w:val="center"/>
                      <w:rPr>
                        <w:spacing w:val="-4"/>
                        <w:position w:val="-14"/>
                        <w:sz w:val="28"/>
                        <w:szCs w:val="28"/>
                      </w:rPr>
                    </w:pP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И.о. первого                          вице-губернатора – председателя Правительства Самарской области </w:t>
                    </w:r>
                  </w:p>
                </w:sdtContent>
              </w:sdt>
            </w:sdtContent>
          </w:sdt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</w:rPr>
            </w:pPr>
          </w:p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 w:rsidRPr="001C71B0"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</w:tc>
        <w:tc>
          <w:tcPr>
            <w:tcW w:w="2467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sdt>
            <w:sdtPr>
              <w:rPr>
                <w:spacing w:val="-4"/>
                <w:szCs w:val="28"/>
              </w:rPr>
              <w:id w:val="-456641096"/>
              <w:placeholder>
                <w:docPart w:val="36667D2DC5DE47A0BACDD9A6B3476F91"/>
              </w:placeholder>
              <w:comboBox>
                <w:listItem w:value="Выберите элемент."/>
                <w:listItem w:displayText="Н.И. Катина" w:value="Н.И. Катина"/>
                <w:listItem w:displayText="А.Б. Фетисов" w:value="А.Б. Фетисов"/>
                <w:listItem w:displayText="В.А. Василенко" w:value="В.А. Василенко"/>
              </w:comboBox>
            </w:sdtPr>
            <w:sdtEndPr/>
            <w:sdtContent>
              <w:p w:rsidR="00E64146" w:rsidRPr="001C71B0" w:rsidRDefault="0063440A" w:rsidP="00260FB9">
                <w:pPr>
                  <w:keepNext/>
                  <w:keepLines/>
                  <w:jc w:val="right"/>
                  <w:rPr>
                    <w:color w:val="FF0000"/>
                    <w:spacing w:val="-4"/>
                    <w:szCs w:val="28"/>
                  </w:rPr>
                </w:pPr>
                <w:r>
                  <w:rPr>
                    <w:spacing w:val="-4"/>
                    <w:szCs w:val="28"/>
                  </w:rPr>
                  <w:t>Н.И. Катина</w:t>
                </w:r>
              </w:p>
            </w:sdtContent>
          </w:sdt>
        </w:tc>
      </w:tr>
    </w:tbl>
    <w:p w:rsidR="00C21C2C" w:rsidRDefault="00C21C2C" w:rsidP="00563A63">
      <w:pPr>
        <w:spacing w:line="360" w:lineRule="auto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D90693" w:rsidRDefault="00D90693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2D34BA" w:rsidRDefault="002D34BA" w:rsidP="00D90693">
      <w:pPr>
        <w:pStyle w:val="ConsPlusNormal"/>
        <w:spacing w:before="220"/>
        <w:jc w:val="both"/>
        <w:rPr>
          <w:szCs w:val="28"/>
        </w:rPr>
      </w:pPr>
    </w:p>
    <w:p w:rsidR="00C21C2C" w:rsidRDefault="00D90693" w:rsidP="00D90693">
      <w:pPr>
        <w:pStyle w:val="ConsPlusNormal"/>
        <w:spacing w:before="220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Юрочкин А.А. (846) 263-41-26</w:t>
      </w:r>
    </w:p>
    <w:sectPr w:rsidR="00C21C2C" w:rsidSect="00A7014A">
      <w:headerReference w:type="even" r:id="rId11"/>
      <w:headerReference w:type="default" r:id="rId12"/>
      <w:pgSz w:w="11906" w:h="16838"/>
      <w:pgMar w:top="567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31" w:rsidRDefault="00102131">
      <w:r>
        <w:separator/>
      </w:r>
    </w:p>
  </w:endnote>
  <w:endnote w:type="continuationSeparator" w:id="0">
    <w:p w:rsidR="00102131" w:rsidRDefault="0010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31" w:rsidRDefault="00102131">
      <w:r>
        <w:separator/>
      </w:r>
    </w:p>
  </w:footnote>
  <w:footnote w:type="continuationSeparator" w:id="0">
    <w:p w:rsidR="00102131" w:rsidRDefault="00102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A14C74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A14C74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34BA">
      <w:rPr>
        <w:rStyle w:val="a5"/>
        <w:noProof/>
      </w:rPr>
      <w:t>3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94C"/>
    <w:rsid w:val="00014C17"/>
    <w:rsid w:val="00032CCB"/>
    <w:rsid w:val="00051723"/>
    <w:rsid w:val="00053656"/>
    <w:rsid w:val="00061855"/>
    <w:rsid w:val="000949E9"/>
    <w:rsid w:val="000E5CED"/>
    <w:rsid w:val="000E7501"/>
    <w:rsid w:val="000F1820"/>
    <w:rsid w:val="00102131"/>
    <w:rsid w:val="00102ACA"/>
    <w:rsid w:val="00106D31"/>
    <w:rsid w:val="00110133"/>
    <w:rsid w:val="00112F44"/>
    <w:rsid w:val="001167FB"/>
    <w:rsid w:val="001460EF"/>
    <w:rsid w:val="0014625D"/>
    <w:rsid w:val="00153B01"/>
    <w:rsid w:val="00162329"/>
    <w:rsid w:val="00172434"/>
    <w:rsid w:val="00192841"/>
    <w:rsid w:val="001A08B1"/>
    <w:rsid w:val="001C42F4"/>
    <w:rsid w:val="001D4F6C"/>
    <w:rsid w:val="001E5FD4"/>
    <w:rsid w:val="00206169"/>
    <w:rsid w:val="002312E5"/>
    <w:rsid w:val="00234DEA"/>
    <w:rsid w:val="0024268C"/>
    <w:rsid w:val="002467AA"/>
    <w:rsid w:val="002659EC"/>
    <w:rsid w:val="002864C3"/>
    <w:rsid w:val="002969C0"/>
    <w:rsid w:val="002D34BA"/>
    <w:rsid w:val="002E2E10"/>
    <w:rsid w:val="002E5ACE"/>
    <w:rsid w:val="002E6788"/>
    <w:rsid w:val="002F0BCC"/>
    <w:rsid w:val="002F5D8B"/>
    <w:rsid w:val="0031182B"/>
    <w:rsid w:val="00337759"/>
    <w:rsid w:val="0034770A"/>
    <w:rsid w:val="003674F9"/>
    <w:rsid w:val="0038273E"/>
    <w:rsid w:val="00382A48"/>
    <w:rsid w:val="00386C62"/>
    <w:rsid w:val="003942A7"/>
    <w:rsid w:val="0039627C"/>
    <w:rsid w:val="00397B8B"/>
    <w:rsid w:val="003B3F01"/>
    <w:rsid w:val="003C4CB2"/>
    <w:rsid w:val="003E6615"/>
    <w:rsid w:val="00412C5A"/>
    <w:rsid w:val="00426579"/>
    <w:rsid w:val="0043366C"/>
    <w:rsid w:val="0044524D"/>
    <w:rsid w:val="00463959"/>
    <w:rsid w:val="00484DFC"/>
    <w:rsid w:val="004949B2"/>
    <w:rsid w:val="004A7281"/>
    <w:rsid w:val="004B6E27"/>
    <w:rsid w:val="004C092B"/>
    <w:rsid w:val="004C14FA"/>
    <w:rsid w:val="004C43DE"/>
    <w:rsid w:val="004D7005"/>
    <w:rsid w:val="005029C2"/>
    <w:rsid w:val="00503322"/>
    <w:rsid w:val="0052510A"/>
    <w:rsid w:val="005276F1"/>
    <w:rsid w:val="00545AC0"/>
    <w:rsid w:val="005478C4"/>
    <w:rsid w:val="005605A8"/>
    <w:rsid w:val="00563A63"/>
    <w:rsid w:val="00583739"/>
    <w:rsid w:val="005E3041"/>
    <w:rsid w:val="0060577D"/>
    <w:rsid w:val="006158E5"/>
    <w:rsid w:val="006167BE"/>
    <w:rsid w:val="0063002A"/>
    <w:rsid w:val="00630109"/>
    <w:rsid w:val="0063440A"/>
    <w:rsid w:val="00637FA9"/>
    <w:rsid w:val="00641A0F"/>
    <w:rsid w:val="00655FBC"/>
    <w:rsid w:val="006576AC"/>
    <w:rsid w:val="00661274"/>
    <w:rsid w:val="00680C6B"/>
    <w:rsid w:val="00687C2B"/>
    <w:rsid w:val="006B510A"/>
    <w:rsid w:val="006B5ABC"/>
    <w:rsid w:val="006C67EA"/>
    <w:rsid w:val="006C76C2"/>
    <w:rsid w:val="006E31CE"/>
    <w:rsid w:val="007072F2"/>
    <w:rsid w:val="007139C4"/>
    <w:rsid w:val="00715400"/>
    <w:rsid w:val="00717DE2"/>
    <w:rsid w:val="0073582E"/>
    <w:rsid w:val="00751D83"/>
    <w:rsid w:val="00765C2E"/>
    <w:rsid w:val="00777E46"/>
    <w:rsid w:val="007A0004"/>
    <w:rsid w:val="007E3B57"/>
    <w:rsid w:val="007F4321"/>
    <w:rsid w:val="007F6B0F"/>
    <w:rsid w:val="0080094C"/>
    <w:rsid w:val="00814272"/>
    <w:rsid w:val="00845D1D"/>
    <w:rsid w:val="0084643D"/>
    <w:rsid w:val="00850E36"/>
    <w:rsid w:val="00854259"/>
    <w:rsid w:val="00872376"/>
    <w:rsid w:val="0087276A"/>
    <w:rsid w:val="008806D3"/>
    <w:rsid w:val="00893931"/>
    <w:rsid w:val="008C4625"/>
    <w:rsid w:val="008E3D70"/>
    <w:rsid w:val="00915163"/>
    <w:rsid w:val="00916456"/>
    <w:rsid w:val="00920226"/>
    <w:rsid w:val="00944438"/>
    <w:rsid w:val="0094504F"/>
    <w:rsid w:val="0096706D"/>
    <w:rsid w:val="009728C7"/>
    <w:rsid w:val="00974EF0"/>
    <w:rsid w:val="009754C2"/>
    <w:rsid w:val="00977BAB"/>
    <w:rsid w:val="009922C8"/>
    <w:rsid w:val="00997FD7"/>
    <w:rsid w:val="009A13CF"/>
    <w:rsid w:val="009B11B7"/>
    <w:rsid w:val="009B386A"/>
    <w:rsid w:val="009B4471"/>
    <w:rsid w:val="009E7636"/>
    <w:rsid w:val="009F1229"/>
    <w:rsid w:val="00A13F85"/>
    <w:rsid w:val="00A14C74"/>
    <w:rsid w:val="00A17C5A"/>
    <w:rsid w:val="00A454D7"/>
    <w:rsid w:val="00A65A2E"/>
    <w:rsid w:val="00A7014A"/>
    <w:rsid w:val="00A820C2"/>
    <w:rsid w:val="00AB063D"/>
    <w:rsid w:val="00AB077F"/>
    <w:rsid w:val="00AD0582"/>
    <w:rsid w:val="00AD1C96"/>
    <w:rsid w:val="00AD4C8C"/>
    <w:rsid w:val="00AF475E"/>
    <w:rsid w:val="00AF6146"/>
    <w:rsid w:val="00B04237"/>
    <w:rsid w:val="00B05729"/>
    <w:rsid w:val="00B14785"/>
    <w:rsid w:val="00B235B7"/>
    <w:rsid w:val="00B3020B"/>
    <w:rsid w:val="00B40340"/>
    <w:rsid w:val="00B75F3A"/>
    <w:rsid w:val="00B93FBF"/>
    <w:rsid w:val="00BF4A87"/>
    <w:rsid w:val="00C05AE2"/>
    <w:rsid w:val="00C21C2C"/>
    <w:rsid w:val="00C31035"/>
    <w:rsid w:val="00C61DD0"/>
    <w:rsid w:val="00C64EFF"/>
    <w:rsid w:val="00C70F6C"/>
    <w:rsid w:val="00C75B5C"/>
    <w:rsid w:val="00C850D8"/>
    <w:rsid w:val="00CA4A1B"/>
    <w:rsid w:val="00CB4B3A"/>
    <w:rsid w:val="00CD72A7"/>
    <w:rsid w:val="00CE7624"/>
    <w:rsid w:val="00D226C4"/>
    <w:rsid w:val="00D749C5"/>
    <w:rsid w:val="00D90693"/>
    <w:rsid w:val="00D94A34"/>
    <w:rsid w:val="00DD5405"/>
    <w:rsid w:val="00DF5503"/>
    <w:rsid w:val="00E5372D"/>
    <w:rsid w:val="00E64146"/>
    <w:rsid w:val="00E67BA9"/>
    <w:rsid w:val="00E95DEE"/>
    <w:rsid w:val="00F024DD"/>
    <w:rsid w:val="00F1128E"/>
    <w:rsid w:val="00F27E41"/>
    <w:rsid w:val="00F4088B"/>
    <w:rsid w:val="00F57A62"/>
    <w:rsid w:val="00F63D5C"/>
    <w:rsid w:val="00F679F9"/>
    <w:rsid w:val="00F72DD2"/>
    <w:rsid w:val="00F86787"/>
    <w:rsid w:val="00F9424B"/>
    <w:rsid w:val="00F96CBC"/>
    <w:rsid w:val="00FA6A4A"/>
    <w:rsid w:val="00FB60C4"/>
    <w:rsid w:val="00FC3C32"/>
    <w:rsid w:val="00FE7E72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  <w:style w:type="paragraph" w:customStyle="1" w:styleId="ConsPlusTitle">
    <w:name w:val="ConsPlusTitle"/>
    <w:rsid w:val="00D9069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C5D270E81341F5C288423DACF80961E68FCD2C2D511182FC96770966C59DB90FF6448418CDAE23712C840998q4bA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4EFE7162D47968C2C8DFA8C86B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2C41-4388-4F4E-9331-65D56DB3CBAC}"/>
      </w:docPartPr>
      <w:docPartBody>
        <w:p w:rsidR="00221062" w:rsidRDefault="001E57F0" w:rsidP="001E57F0">
          <w:pPr>
            <w:pStyle w:val="B714EFE7162D47968C2C8DFA8C86BFE4"/>
          </w:pPr>
          <w:r w:rsidRPr="002327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50BFCEA95E4310B8D19560B4464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9760C-F10C-4C79-B3C0-D5D5498EBA23}"/>
      </w:docPartPr>
      <w:docPartBody>
        <w:p w:rsidR="00611F22" w:rsidRDefault="00EC2329" w:rsidP="00EC2329">
          <w:pPr>
            <w:pStyle w:val="0550BFCEA95E4310B8D19560B4464C22"/>
          </w:pPr>
          <w:r w:rsidRPr="002F40E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67D2DC5DE47A0BACDD9A6B3476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340E6-9634-4F68-BD73-74D828AC1DEA}"/>
      </w:docPartPr>
      <w:docPartBody>
        <w:p w:rsidR="00611F22" w:rsidRDefault="00EC2329" w:rsidP="00EC2329">
          <w:pPr>
            <w:pStyle w:val="36667D2DC5DE47A0BACDD9A6B3476F91"/>
          </w:pPr>
          <w:r w:rsidRPr="00862E3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88F"/>
    <w:rsid w:val="000460CF"/>
    <w:rsid w:val="000F6B9B"/>
    <w:rsid w:val="0015644A"/>
    <w:rsid w:val="001E57F0"/>
    <w:rsid w:val="00221062"/>
    <w:rsid w:val="00253F10"/>
    <w:rsid w:val="00280301"/>
    <w:rsid w:val="002C7EFB"/>
    <w:rsid w:val="004A53B4"/>
    <w:rsid w:val="004C6551"/>
    <w:rsid w:val="005D488F"/>
    <w:rsid w:val="005E647E"/>
    <w:rsid w:val="005E6DF9"/>
    <w:rsid w:val="00611F22"/>
    <w:rsid w:val="00671E75"/>
    <w:rsid w:val="00751027"/>
    <w:rsid w:val="007931D3"/>
    <w:rsid w:val="00861263"/>
    <w:rsid w:val="008B3EA3"/>
    <w:rsid w:val="008D24E2"/>
    <w:rsid w:val="00972DBF"/>
    <w:rsid w:val="009A0DA8"/>
    <w:rsid w:val="00A030D3"/>
    <w:rsid w:val="00A304EA"/>
    <w:rsid w:val="00AD4D25"/>
    <w:rsid w:val="00AE0B07"/>
    <w:rsid w:val="00B540B8"/>
    <w:rsid w:val="00B540C3"/>
    <w:rsid w:val="00B54EA3"/>
    <w:rsid w:val="00BA090A"/>
    <w:rsid w:val="00BA5517"/>
    <w:rsid w:val="00BE2C02"/>
    <w:rsid w:val="00C96C1B"/>
    <w:rsid w:val="00D33678"/>
    <w:rsid w:val="00D376B2"/>
    <w:rsid w:val="00D74B23"/>
    <w:rsid w:val="00DF7E6F"/>
    <w:rsid w:val="00E85026"/>
    <w:rsid w:val="00EC2329"/>
    <w:rsid w:val="00ED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FF82-4A61-45FB-B6F6-E758E1CA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4</Pages>
  <Words>405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Юрочкин Алексей Анатольевич</cp:lastModifiedBy>
  <cp:revision>2</cp:revision>
  <cp:lastPrinted>2024-01-09T08:50:00Z</cp:lastPrinted>
  <dcterms:created xsi:type="dcterms:W3CDTF">2024-07-12T09:16:00Z</dcterms:created>
  <dcterms:modified xsi:type="dcterms:W3CDTF">2024-07-12T09:16:00Z</dcterms:modified>
</cp:coreProperties>
</file>