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79C" w:rsidRDefault="0004379C">
      <w:pPr>
        <w:pStyle w:val="ConsPlusTitle"/>
        <w:jc w:val="center"/>
        <w:outlineLvl w:val="0"/>
      </w:pPr>
    </w:p>
    <w:p w:rsidR="0004379C" w:rsidRDefault="0004379C">
      <w:pPr>
        <w:pStyle w:val="ConsPlusTitle"/>
        <w:jc w:val="center"/>
        <w:outlineLvl w:val="0"/>
      </w:pPr>
      <w:bookmarkStart w:id="0" w:name="_GoBack"/>
      <w:bookmarkEnd w:id="0"/>
      <w:r>
        <w:t>ПРАВИТЕЛЬСТВО САМАРСКОЙ ОБЛАСТИ</w:t>
      </w:r>
    </w:p>
    <w:p w:rsidR="0004379C" w:rsidRDefault="0004379C">
      <w:pPr>
        <w:pStyle w:val="ConsPlusTitle"/>
        <w:jc w:val="both"/>
      </w:pPr>
    </w:p>
    <w:p w:rsidR="0004379C" w:rsidRDefault="0004379C">
      <w:pPr>
        <w:pStyle w:val="ConsPlusTitle"/>
        <w:jc w:val="center"/>
      </w:pPr>
      <w:r>
        <w:t>РАСПОРЯЖЕНИЕ</w:t>
      </w:r>
    </w:p>
    <w:p w:rsidR="0004379C" w:rsidRDefault="0004379C">
      <w:pPr>
        <w:pStyle w:val="ConsPlusTitle"/>
        <w:jc w:val="center"/>
      </w:pPr>
      <w:r>
        <w:t>от 19 февраля 2019 г. N 124-р</w:t>
      </w:r>
    </w:p>
    <w:p w:rsidR="0004379C" w:rsidRDefault="0004379C">
      <w:pPr>
        <w:pStyle w:val="ConsPlusTitle"/>
        <w:jc w:val="both"/>
      </w:pPr>
    </w:p>
    <w:p w:rsidR="0004379C" w:rsidRDefault="0004379C">
      <w:pPr>
        <w:pStyle w:val="ConsPlusTitle"/>
        <w:jc w:val="center"/>
      </w:pPr>
      <w:r>
        <w:t>ОБ УТВЕРЖДЕНИИ МЕТОДИЧЕСКИХ РЕКОМЕНДАЦИЙ ПО ПРИМЕНЕНИЮ</w:t>
      </w:r>
    </w:p>
    <w:p w:rsidR="0004379C" w:rsidRDefault="0004379C">
      <w:pPr>
        <w:pStyle w:val="ConsPlusTitle"/>
        <w:jc w:val="center"/>
      </w:pPr>
      <w:r>
        <w:t>МЕТОДОВ ОПРЕДЕЛЕНИЯ НАЧАЛЬНОЙ (МАКСИМАЛЬНОЙ) ЦЕНЫ КОНТРАКТА,</w:t>
      </w:r>
    </w:p>
    <w:p w:rsidR="0004379C" w:rsidRDefault="0004379C">
      <w:pPr>
        <w:pStyle w:val="ConsPlusTitle"/>
        <w:jc w:val="center"/>
      </w:pPr>
      <w:r>
        <w:t>ЦЕНЫ КОНТРАКТА, ЗАКЛЮЧАЕМОГО С ЕДИНСТВЕННЫМ ПОСТАВЩИКОМ</w:t>
      </w:r>
    </w:p>
    <w:p w:rsidR="0004379C" w:rsidRDefault="0004379C">
      <w:pPr>
        <w:pStyle w:val="ConsPlusTitle"/>
        <w:jc w:val="center"/>
      </w:pPr>
      <w:r>
        <w:t>(ПОДРЯДЧИКОМ, ИСПОЛНИТЕЛЕМ), ДЛЯ ОБЕСПЕЧЕНИЯ НУЖД</w:t>
      </w:r>
    </w:p>
    <w:p w:rsidR="0004379C" w:rsidRDefault="0004379C">
      <w:pPr>
        <w:pStyle w:val="ConsPlusTitle"/>
        <w:jc w:val="center"/>
      </w:pPr>
      <w:r>
        <w:t>САМАРСКОЙ ОБЛАСТИ</w:t>
      </w:r>
    </w:p>
    <w:p w:rsidR="0004379C" w:rsidRDefault="0004379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04379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79C" w:rsidRDefault="0004379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79C" w:rsidRDefault="0004379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4379C" w:rsidRDefault="0004379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4379C" w:rsidRDefault="0004379C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Распоряжений Правительства Самарской области от 22.07.2019 </w:t>
            </w:r>
            <w:hyperlink r:id="rId5">
              <w:r>
                <w:rPr>
                  <w:color w:val="0000FF"/>
                </w:rPr>
                <w:t>N 694-р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04379C" w:rsidRDefault="0004379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01.04.2022 </w:t>
            </w:r>
            <w:hyperlink r:id="rId6">
              <w:r>
                <w:rPr>
                  <w:color w:val="0000FF"/>
                </w:rPr>
                <w:t>N 103-р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79C" w:rsidRDefault="0004379C">
            <w:pPr>
              <w:pStyle w:val="ConsPlusNormal"/>
            </w:pPr>
          </w:p>
        </w:tc>
      </w:tr>
    </w:tbl>
    <w:p w:rsidR="0004379C" w:rsidRDefault="0004379C">
      <w:pPr>
        <w:pStyle w:val="ConsPlusNormal"/>
        <w:jc w:val="both"/>
      </w:pPr>
    </w:p>
    <w:p w:rsidR="0004379C" w:rsidRDefault="0004379C">
      <w:pPr>
        <w:pStyle w:val="ConsPlusNormal"/>
        <w:ind w:firstLine="540"/>
        <w:jc w:val="both"/>
      </w:pPr>
      <w:r>
        <w:t xml:space="preserve">В соответствии с </w:t>
      </w:r>
      <w:hyperlink r:id="rId7">
        <w:r>
          <w:rPr>
            <w:color w:val="0000FF"/>
          </w:rPr>
          <w:t>частью 20.1 статьи 22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нужд":</w:t>
      </w:r>
    </w:p>
    <w:p w:rsidR="0004379C" w:rsidRDefault="0004379C">
      <w:pPr>
        <w:pStyle w:val="ConsPlusNormal"/>
        <w:spacing w:before="220"/>
        <w:ind w:firstLine="540"/>
        <w:jc w:val="both"/>
      </w:pPr>
      <w:r>
        <w:t xml:space="preserve">1. Утвердить прилагаемые Методические </w:t>
      </w:r>
      <w:hyperlink w:anchor="P37">
        <w:r>
          <w:rPr>
            <w:color w:val="0000FF"/>
          </w:rPr>
          <w:t>рекомендации</w:t>
        </w:r>
      </w:hyperlink>
      <w:r>
        <w:t xml:space="preserve">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исполнителем), для обеспечения нужд Самарской области (далее - Методические рекомендации).</w:t>
      </w:r>
    </w:p>
    <w:p w:rsidR="0004379C" w:rsidRDefault="0004379C">
      <w:pPr>
        <w:pStyle w:val="ConsPlusNormal"/>
        <w:spacing w:before="220"/>
        <w:ind w:firstLine="540"/>
        <w:jc w:val="both"/>
      </w:pPr>
      <w:r>
        <w:t xml:space="preserve">2. Рекомендовать заказчикам Самарской области при определении начальной (максимальной) цены контракта закупаемых товаров для обеспечения нужд Самарской области, цены контракта, заключаемого с единственным поставщиком (подрядчиком, исполнителем), руководствоваться Методическими </w:t>
      </w:r>
      <w:hyperlink w:anchor="P37">
        <w:r>
          <w:rPr>
            <w:color w:val="0000FF"/>
          </w:rPr>
          <w:t>рекомендациями</w:t>
        </w:r>
      </w:hyperlink>
      <w:r>
        <w:t>.</w:t>
      </w:r>
    </w:p>
    <w:p w:rsidR="0004379C" w:rsidRDefault="0004379C">
      <w:pPr>
        <w:pStyle w:val="ConsPlusNormal"/>
        <w:spacing w:before="220"/>
        <w:ind w:firstLine="540"/>
        <w:jc w:val="both"/>
      </w:pPr>
      <w:r>
        <w:t xml:space="preserve">Рекомендовать администрациям муниципальных образований Самарской области при расходовании средств субвенций из областного бюджета на осуществление переданных государственных полномочий Самарской области руководствоваться Методическими </w:t>
      </w:r>
      <w:hyperlink w:anchor="P37">
        <w:r>
          <w:rPr>
            <w:color w:val="0000FF"/>
          </w:rPr>
          <w:t>рекомендациями</w:t>
        </w:r>
      </w:hyperlink>
      <w:r>
        <w:t>, если это предусмотрено условиями предоставления субвенций.</w:t>
      </w:r>
    </w:p>
    <w:p w:rsidR="0004379C" w:rsidRDefault="0004379C">
      <w:pPr>
        <w:pStyle w:val="ConsPlusNormal"/>
        <w:jc w:val="both"/>
      </w:pPr>
      <w:r>
        <w:t>(</w:t>
      </w:r>
      <w:proofErr w:type="gramStart"/>
      <w:r>
        <w:t>а</w:t>
      </w:r>
      <w:proofErr w:type="gramEnd"/>
      <w:r>
        <w:t xml:space="preserve">бзац введен </w:t>
      </w:r>
      <w:hyperlink r:id="rId8">
        <w:r>
          <w:rPr>
            <w:color w:val="0000FF"/>
          </w:rPr>
          <w:t>Распоряжением</w:t>
        </w:r>
      </w:hyperlink>
      <w:r>
        <w:t xml:space="preserve"> Правительства Самарской области от 01.04.2022 N 103-р)</w:t>
      </w:r>
    </w:p>
    <w:p w:rsidR="0004379C" w:rsidRDefault="0004379C">
      <w:pPr>
        <w:pStyle w:val="ConsPlusNormal"/>
        <w:spacing w:before="220"/>
        <w:ind w:firstLine="540"/>
        <w:jc w:val="both"/>
      </w:pPr>
      <w:r>
        <w:t xml:space="preserve">3. Методические </w:t>
      </w:r>
      <w:hyperlink w:anchor="P37">
        <w:r>
          <w:rPr>
            <w:color w:val="0000FF"/>
          </w:rPr>
          <w:t>рекомендации</w:t>
        </w:r>
      </w:hyperlink>
      <w:r>
        <w:t xml:space="preserve"> не применяются в случае установления порядка обоснования начальной (максимальной) цены контракта, цены контракта, заключаемого с единственным поставщиком (подрядчиком, исполнителем), в соответствии с </w:t>
      </w:r>
      <w:hyperlink r:id="rId9">
        <w:r>
          <w:rPr>
            <w:color w:val="0000FF"/>
          </w:rPr>
          <w:t>частью 22 статьи 22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нужд".</w:t>
      </w:r>
    </w:p>
    <w:p w:rsidR="0004379C" w:rsidRDefault="0004379C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выполнением настоящего Распоряжения возложить на Главное управление организации торгов Самарской области.</w:t>
      </w:r>
    </w:p>
    <w:p w:rsidR="0004379C" w:rsidRDefault="0004379C">
      <w:pPr>
        <w:pStyle w:val="ConsPlusNormal"/>
        <w:spacing w:before="220"/>
        <w:ind w:firstLine="540"/>
        <w:jc w:val="both"/>
      </w:pPr>
      <w:r>
        <w:t>5. Опубликовать настоящее Распоряжение в средствах массовой информации.</w:t>
      </w:r>
    </w:p>
    <w:p w:rsidR="0004379C" w:rsidRDefault="0004379C">
      <w:pPr>
        <w:pStyle w:val="ConsPlusNormal"/>
        <w:jc w:val="both"/>
      </w:pPr>
    </w:p>
    <w:p w:rsidR="0004379C" w:rsidRDefault="0004379C">
      <w:pPr>
        <w:pStyle w:val="ConsPlusNormal"/>
        <w:jc w:val="right"/>
      </w:pPr>
      <w:proofErr w:type="spellStart"/>
      <w:r>
        <w:t>И.о</w:t>
      </w:r>
      <w:proofErr w:type="spellEnd"/>
      <w:r>
        <w:t>. первого вице-губернатора - председателя</w:t>
      </w:r>
    </w:p>
    <w:p w:rsidR="0004379C" w:rsidRDefault="0004379C">
      <w:pPr>
        <w:pStyle w:val="ConsPlusNormal"/>
        <w:jc w:val="right"/>
      </w:pPr>
      <w:r>
        <w:t>Правительства Самарской области</w:t>
      </w:r>
    </w:p>
    <w:p w:rsidR="0004379C" w:rsidRDefault="0004379C">
      <w:pPr>
        <w:pStyle w:val="ConsPlusNormal"/>
        <w:jc w:val="right"/>
      </w:pPr>
      <w:r>
        <w:t>В.В.КУДРЯШОВ</w:t>
      </w:r>
    </w:p>
    <w:p w:rsidR="0004379C" w:rsidRDefault="0004379C">
      <w:pPr>
        <w:pStyle w:val="ConsPlusNormal"/>
        <w:jc w:val="both"/>
      </w:pPr>
    </w:p>
    <w:p w:rsidR="0004379C" w:rsidRDefault="0004379C">
      <w:pPr>
        <w:pStyle w:val="ConsPlusNormal"/>
        <w:jc w:val="both"/>
      </w:pPr>
    </w:p>
    <w:p w:rsidR="0004379C" w:rsidRDefault="0004379C">
      <w:pPr>
        <w:pStyle w:val="ConsPlusNormal"/>
        <w:jc w:val="both"/>
      </w:pPr>
    </w:p>
    <w:p w:rsidR="0004379C" w:rsidRDefault="0004379C">
      <w:pPr>
        <w:pStyle w:val="ConsPlusNormal"/>
        <w:jc w:val="both"/>
      </w:pPr>
    </w:p>
    <w:p w:rsidR="0004379C" w:rsidRDefault="0004379C">
      <w:pPr>
        <w:pStyle w:val="ConsPlusNormal"/>
        <w:jc w:val="both"/>
      </w:pPr>
    </w:p>
    <w:p w:rsidR="0004379C" w:rsidRDefault="0004379C">
      <w:pPr>
        <w:pStyle w:val="ConsPlusNormal"/>
        <w:jc w:val="right"/>
        <w:outlineLvl w:val="0"/>
      </w:pPr>
      <w:r>
        <w:lastRenderedPageBreak/>
        <w:t>Утверждены</w:t>
      </w:r>
    </w:p>
    <w:p w:rsidR="0004379C" w:rsidRDefault="0004379C">
      <w:pPr>
        <w:pStyle w:val="ConsPlusNormal"/>
        <w:jc w:val="right"/>
      </w:pPr>
      <w:r>
        <w:t>Распоряжением</w:t>
      </w:r>
    </w:p>
    <w:p w:rsidR="0004379C" w:rsidRDefault="0004379C">
      <w:pPr>
        <w:pStyle w:val="ConsPlusNormal"/>
        <w:jc w:val="right"/>
      </w:pPr>
      <w:r>
        <w:t>Правительства Самарской области</w:t>
      </w:r>
    </w:p>
    <w:p w:rsidR="0004379C" w:rsidRDefault="0004379C">
      <w:pPr>
        <w:pStyle w:val="ConsPlusNormal"/>
        <w:jc w:val="right"/>
      </w:pPr>
      <w:r>
        <w:t>от 19.02.2019 N 124-р</w:t>
      </w:r>
    </w:p>
    <w:p w:rsidR="0004379C" w:rsidRDefault="0004379C">
      <w:pPr>
        <w:pStyle w:val="ConsPlusNormal"/>
        <w:jc w:val="both"/>
      </w:pPr>
    </w:p>
    <w:p w:rsidR="0004379C" w:rsidRDefault="0004379C">
      <w:pPr>
        <w:pStyle w:val="ConsPlusTitle"/>
        <w:jc w:val="center"/>
      </w:pPr>
      <w:bookmarkStart w:id="1" w:name="P37"/>
      <w:bookmarkEnd w:id="1"/>
      <w:r>
        <w:t>МЕТОДИЧЕСКИЕ РЕКОМЕНДАЦИИ</w:t>
      </w:r>
    </w:p>
    <w:p w:rsidR="0004379C" w:rsidRDefault="0004379C">
      <w:pPr>
        <w:pStyle w:val="ConsPlusTitle"/>
        <w:jc w:val="center"/>
      </w:pPr>
      <w:r>
        <w:t xml:space="preserve">ПО ПРИМЕНЕНИЮ МЕТОДОВ ОПРЕДЕЛЕНИЯ </w:t>
      </w:r>
      <w:proofErr w:type="gramStart"/>
      <w:r>
        <w:t>НАЧАЛЬНОЙ</w:t>
      </w:r>
      <w:proofErr w:type="gramEnd"/>
      <w:r>
        <w:t xml:space="preserve"> (МАКСИМАЛЬНОЙ)</w:t>
      </w:r>
    </w:p>
    <w:p w:rsidR="0004379C" w:rsidRDefault="0004379C">
      <w:pPr>
        <w:pStyle w:val="ConsPlusTitle"/>
        <w:jc w:val="center"/>
      </w:pPr>
      <w:r>
        <w:t xml:space="preserve">ЦЕНЫ КОНТРАКТА, ЦЕНЫ КОНТРАКТА, ЗАКЛЮЧАЕМОГО С </w:t>
      </w:r>
      <w:proofErr w:type="gramStart"/>
      <w:r>
        <w:t>ЕДИНСТВЕННЫМ</w:t>
      </w:r>
      <w:proofErr w:type="gramEnd"/>
    </w:p>
    <w:p w:rsidR="0004379C" w:rsidRDefault="0004379C">
      <w:pPr>
        <w:pStyle w:val="ConsPlusTitle"/>
        <w:jc w:val="center"/>
      </w:pPr>
      <w:r>
        <w:t>ПОСТАВЩИКОМ (ПОДРЯДЧИКОМ, ИСПОЛНИТЕЛЕМ), ДЛЯ ОБЕСПЕЧЕНИЯ</w:t>
      </w:r>
    </w:p>
    <w:p w:rsidR="0004379C" w:rsidRDefault="0004379C">
      <w:pPr>
        <w:pStyle w:val="ConsPlusTitle"/>
        <w:jc w:val="center"/>
      </w:pPr>
      <w:r>
        <w:t>НУЖД САМАРСКОЙ ОБЛАСТИ</w:t>
      </w:r>
    </w:p>
    <w:p w:rsidR="0004379C" w:rsidRDefault="0004379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04379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79C" w:rsidRDefault="0004379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79C" w:rsidRDefault="0004379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4379C" w:rsidRDefault="0004379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4379C" w:rsidRDefault="0004379C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Распоряжений Правительства Самарской области от 22.07.2019 </w:t>
            </w:r>
            <w:hyperlink r:id="rId10">
              <w:r>
                <w:rPr>
                  <w:color w:val="0000FF"/>
                </w:rPr>
                <w:t>N 694-р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04379C" w:rsidRDefault="0004379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01.04.2022 </w:t>
            </w:r>
            <w:hyperlink r:id="rId11">
              <w:r>
                <w:rPr>
                  <w:color w:val="0000FF"/>
                </w:rPr>
                <w:t>N 103-р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4379C" w:rsidRDefault="0004379C">
            <w:pPr>
              <w:pStyle w:val="ConsPlusNormal"/>
            </w:pPr>
          </w:p>
        </w:tc>
      </w:tr>
    </w:tbl>
    <w:p w:rsidR="0004379C" w:rsidRDefault="0004379C">
      <w:pPr>
        <w:pStyle w:val="ConsPlusNormal"/>
        <w:jc w:val="both"/>
      </w:pPr>
    </w:p>
    <w:p w:rsidR="0004379C" w:rsidRDefault="0004379C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Настоящие Методические рекомендации разработаны в соответствии с </w:t>
      </w:r>
      <w:hyperlink r:id="rId12">
        <w:r>
          <w:rPr>
            <w:color w:val="0000FF"/>
          </w:rPr>
          <w:t>частью 20.1 статьи 22</w:t>
        </w:r>
      </w:hyperlink>
      <w:r>
        <w:t xml:space="preserve"> Федерального закона от 05.04.2013 N 44-ФЗ "О контрактной системе в сфере закупок товаров, работ, услуг для обеспечения государственных и муниципальных нужд" (далее - Федеральный закон) в целях уточнения применения методов определения начальной (максимальной) цены контракта, цены контракта, заключаемого с единственным поставщиком (подрядчиком, исполнителем), для обеспечения нужд Самарской области (далее - НМЦК</w:t>
      </w:r>
      <w:proofErr w:type="gramEnd"/>
      <w:r>
        <w:t>).</w:t>
      </w:r>
    </w:p>
    <w:p w:rsidR="0004379C" w:rsidRDefault="0004379C">
      <w:pPr>
        <w:pStyle w:val="ConsPlusNormal"/>
        <w:spacing w:before="220"/>
        <w:ind w:firstLine="540"/>
        <w:jc w:val="both"/>
      </w:pPr>
      <w:r>
        <w:t xml:space="preserve">2. НМЦК, определяемая посредством любого из методов, предусмотренных </w:t>
      </w:r>
      <w:hyperlink r:id="rId13">
        <w:r>
          <w:rPr>
            <w:color w:val="0000FF"/>
          </w:rPr>
          <w:t>статьей 22</w:t>
        </w:r>
      </w:hyperlink>
      <w:r>
        <w:t xml:space="preserve"> Федерального закона, не должна превышать объем средств, предусмотренный государственными программами Самарской области, нормативными правовыми актами Правительства Самарской области, решением главного распорядителя бюджетных средств.</w:t>
      </w:r>
    </w:p>
    <w:p w:rsidR="0004379C" w:rsidRDefault="0004379C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>При определении НМЦК работ, услуг, а также товаров, не включенных в каталог товаров, работ, услуг, содержащийся в автоматизированной информационной системе Самарской области "Автоматизированная информационная система государственного заказа Самарской области" (далее соответственно - АИС "Госзаказ", каталог), применяются методические рекомендации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исполнителем), установленные соответствующим федеральным органом исполнительной власти по</w:t>
      </w:r>
      <w:proofErr w:type="gramEnd"/>
      <w:r>
        <w:t xml:space="preserve"> регулированию контрактной системы в сфере закупок (далее - федеральные методические рекомендации).</w:t>
      </w:r>
    </w:p>
    <w:p w:rsidR="0004379C" w:rsidRDefault="0004379C">
      <w:pPr>
        <w:pStyle w:val="ConsPlusNormal"/>
        <w:spacing w:before="220"/>
        <w:ind w:firstLine="540"/>
        <w:jc w:val="both"/>
      </w:pPr>
      <w:r>
        <w:t>4. При определении НМЦК товаров, включенных в каталог, заказчик вправе применить федеральные методические рекомендации с учетом положений, приведенных в настоящих Методических рекомендациях.</w:t>
      </w:r>
    </w:p>
    <w:p w:rsidR="0004379C" w:rsidRDefault="0004379C">
      <w:pPr>
        <w:pStyle w:val="ConsPlusNormal"/>
        <w:spacing w:before="220"/>
        <w:ind w:firstLine="540"/>
        <w:jc w:val="both"/>
      </w:pPr>
      <w:r>
        <w:t>Учреждения Самарской области, участвующие в реализации пилотного проекта по поставке продовольственных товаров через региональный оптово-распределительный центр продовольственных товаров (специализированный склад), формируют НМЦК на товары, закупаемые в рамках реализации пилотного проекта с учетом данных мониторинга цен на товары, проводимого Главным управлением организации торгов Самарской области.</w:t>
      </w:r>
    </w:p>
    <w:p w:rsidR="0004379C" w:rsidRDefault="0004379C">
      <w:pPr>
        <w:pStyle w:val="ConsPlusNormal"/>
        <w:jc w:val="both"/>
      </w:pPr>
      <w:r>
        <w:t>(</w:t>
      </w:r>
      <w:proofErr w:type="gramStart"/>
      <w:r>
        <w:t>а</w:t>
      </w:r>
      <w:proofErr w:type="gramEnd"/>
      <w:r>
        <w:t xml:space="preserve">бзац введен </w:t>
      </w:r>
      <w:hyperlink r:id="rId14">
        <w:r>
          <w:rPr>
            <w:color w:val="0000FF"/>
          </w:rPr>
          <w:t>Распоряжением</w:t>
        </w:r>
      </w:hyperlink>
      <w:r>
        <w:t xml:space="preserve"> Правительства Самарской области от 22.07.2019 N 694-р)</w:t>
      </w:r>
    </w:p>
    <w:p w:rsidR="0004379C" w:rsidRDefault="0004379C">
      <w:pPr>
        <w:pStyle w:val="ConsPlusNormal"/>
        <w:spacing w:before="220"/>
        <w:ind w:firstLine="540"/>
        <w:jc w:val="both"/>
      </w:pPr>
      <w:proofErr w:type="gramStart"/>
      <w:r>
        <w:t>Рекомендовать администрациям муниципальных образований Самарской области при расходовании средств субвенций из областного бюджета на осуществление переданных государственных полномочий Самарской области по обращению с животными без владельцев на территории муниципальных образований Самарской области формировать обоснование начальной (максимальной) цены контракта по группе каталога "Оказание услуг по отлову животных без владельцев" с учетом коммерческих предложений и расчетов, используемых департаментом ветеринарии Самарской области (далее</w:t>
      </w:r>
      <w:proofErr w:type="gramEnd"/>
      <w:r>
        <w:t xml:space="preserve"> - департамент) при обосновании </w:t>
      </w:r>
      <w:r>
        <w:lastRenderedPageBreak/>
        <w:t>нормативов расходов на одно животное без владельца.</w:t>
      </w:r>
    </w:p>
    <w:p w:rsidR="0004379C" w:rsidRDefault="0004379C">
      <w:pPr>
        <w:pStyle w:val="ConsPlusNormal"/>
        <w:jc w:val="both"/>
      </w:pPr>
      <w:r>
        <w:t xml:space="preserve">(абзац введен </w:t>
      </w:r>
      <w:hyperlink r:id="rId15">
        <w:r>
          <w:rPr>
            <w:color w:val="0000FF"/>
          </w:rPr>
          <w:t>Распоряжением</w:t>
        </w:r>
      </w:hyperlink>
      <w:r>
        <w:t xml:space="preserve"> Правительства Самарской области от 01.04.2022 N 103-р)</w:t>
      </w:r>
    </w:p>
    <w:p w:rsidR="0004379C" w:rsidRDefault="0004379C">
      <w:pPr>
        <w:pStyle w:val="ConsPlusNormal"/>
        <w:spacing w:before="220"/>
        <w:ind w:firstLine="540"/>
        <w:jc w:val="both"/>
      </w:pPr>
      <w:r>
        <w:t>Департамент совместно с заключенными в установленном порядке соглашениями о предоставлении субвенций направляет в адрес получателей субвенций коммерческие предложения и расчеты, используемые при обосновании нормативов расходов на одно животное без владельца.</w:t>
      </w:r>
    </w:p>
    <w:p w:rsidR="0004379C" w:rsidRDefault="0004379C">
      <w:pPr>
        <w:pStyle w:val="ConsPlusNormal"/>
        <w:jc w:val="both"/>
      </w:pPr>
      <w:r>
        <w:t xml:space="preserve">(абзац введен </w:t>
      </w:r>
      <w:hyperlink r:id="rId16">
        <w:r>
          <w:rPr>
            <w:color w:val="0000FF"/>
          </w:rPr>
          <w:t>Распоряжением</w:t>
        </w:r>
      </w:hyperlink>
      <w:r>
        <w:t xml:space="preserve"> Правительства Самарской области от 01.04.2022 N 103-р)</w:t>
      </w:r>
    </w:p>
    <w:p w:rsidR="0004379C" w:rsidRDefault="0004379C">
      <w:pPr>
        <w:pStyle w:val="ConsPlusNormal"/>
        <w:spacing w:before="220"/>
        <w:ind w:firstLine="540"/>
        <w:jc w:val="both"/>
      </w:pPr>
      <w:r>
        <w:t>5. В целях получения ценовой информации в отношении товара, включенного в каталог, для определения НМЦК рекомендуется осуществить в АИС "Госзаказ" одну из следующих процедур или применить их в совокупности:</w:t>
      </w:r>
    </w:p>
    <w:p w:rsidR="0004379C" w:rsidRDefault="0004379C">
      <w:pPr>
        <w:pStyle w:val="ConsPlusNormal"/>
        <w:spacing w:before="220"/>
        <w:ind w:firstLine="540"/>
        <w:jc w:val="both"/>
      </w:pPr>
      <w:proofErr w:type="gramStart"/>
      <w:r>
        <w:t>направить запросы через функционал АИС "Госзаказ" о предоставлении ценовой информации не менее пяти поставщикам, обладающим опытом поставок соответствующих товаров, информация о которых имеется в модуле "Малые закупки" АИС "Госзаказ", а также разместить данный запрос в открытой части модуля;</w:t>
      </w:r>
      <w:proofErr w:type="gramEnd"/>
    </w:p>
    <w:p w:rsidR="0004379C" w:rsidRDefault="0004379C">
      <w:pPr>
        <w:pStyle w:val="ConsPlusNormal"/>
        <w:spacing w:before="220"/>
        <w:ind w:firstLine="540"/>
        <w:jc w:val="both"/>
      </w:pPr>
      <w:r>
        <w:t xml:space="preserve">осуществить поиск ценовой информации в реестре контрактов, заключенных заказчиками, размещенном в АИС "Госзаказ". При этом в расчет принимается информация о ценах товаров, содержащихся в контрактах, которые исполнены и по которым не взыскивались неустойки (штрафы, пени) в связи с неисполнением или ненадлежащим исполнением обязательств, предусмотренных этими контрактами, в течение года, предшествующего дню такого поиска, а также </w:t>
      </w:r>
      <w:proofErr w:type="gramStart"/>
      <w:r>
        <w:t>информация</w:t>
      </w:r>
      <w:proofErr w:type="gramEnd"/>
      <w:r>
        <w:t xml:space="preserve"> о которых размещена в единой информационной системе в сфере закупок в соответствии с требованиями законодательства;</w:t>
      </w:r>
    </w:p>
    <w:p w:rsidR="0004379C" w:rsidRDefault="0004379C">
      <w:pPr>
        <w:pStyle w:val="ConsPlusNormal"/>
        <w:spacing w:before="220"/>
        <w:ind w:firstLine="540"/>
        <w:jc w:val="both"/>
      </w:pPr>
      <w:r>
        <w:t>осуществить поиск ценовой информации в реестре оферт, размещенных поставщиками, зарегистрированными в модуле "Малые закупки" АИС "Госзаказ". При этом в расчет принимается информация о ценах товаров, содержащаяся в актуальных на момент поиска офертах, по которым не менее трех раз заключался контракт в течение года, предшествующего дню такого поиска.</w:t>
      </w:r>
    </w:p>
    <w:p w:rsidR="0004379C" w:rsidRDefault="0004379C">
      <w:pPr>
        <w:pStyle w:val="ConsPlusNormal"/>
        <w:spacing w:before="220"/>
        <w:ind w:firstLine="540"/>
        <w:jc w:val="both"/>
      </w:pPr>
      <w:r>
        <w:t>6. Запрос на предоставление ценовой информации, направляемый потенциальному поставщику (подрядчику, исполнителю) посредством функционала АИС "Госзаказ", должен содержать:</w:t>
      </w:r>
    </w:p>
    <w:p w:rsidR="0004379C" w:rsidRDefault="0004379C">
      <w:pPr>
        <w:pStyle w:val="ConsPlusNormal"/>
        <w:spacing w:before="220"/>
        <w:ind w:firstLine="540"/>
        <w:jc w:val="both"/>
      </w:pPr>
      <w:r>
        <w:t>подробное описание объекта закупки, включая указание единицы измерения, количества товара;</w:t>
      </w:r>
    </w:p>
    <w:p w:rsidR="0004379C" w:rsidRDefault="0004379C">
      <w:pPr>
        <w:pStyle w:val="ConsPlusNormal"/>
        <w:spacing w:before="220"/>
        <w:ind w:firstLine="540"/>
        <w:jc w:val="both"/>
      </w:pPr>
      <w:r>
        <w:t>основные условия исполнения контракта, заключаемого по результатам закупки, включая требования к порядку поставки продукции, предполагаемые сроки проведения закупки, порядок оплаты, размер обеспечения исполнения контракта, требования к гарантийному сроку товара и (или) объему предоставления гарантий его качества;</w:t>
      </w:r>
    </w:p>
    <w:p w:rsidR="0004379C" w:rsidRDefault="0004379C">
      <w:pPr>
        <w:pStyle w:val="ConsPlusNormal"/>
        <w:spacing w:before="220"/>
        <w:ind w:firstLine="540"/>
        <w:jc w:val="both"/>
      </w:pPr>
      <w:r>
        <w:t>сроки предоставления ценовой информации;</w:t>
      </w:r>
    </w:p>
    <w:p w:rsidR="0004379C" w:rsidRDefault="0004379C">
      <w:pPr>
        <w:pStyle w:val="ConsPlusNormal"/>
        <w:spacing w:before="220"/>
        <w:ind w:firstLine="540"/>
        <w:jc w:val="both"/>
      </w:pPr>
      <w:proofErr w:type="gramStart"/>
      <w:r>
        <w:t xml:space="preserve">информацию о том, что в случае признания закупки несостоявшейся на основании </w:t>
      </w:r>
      <w:hyperlink r:id="rId17">
        <w:r>
          <w:rPr>
            <w:color w:val="0000FF"/>
          </w:rPr>
          <w:t>частей 1</w:t>
        </w:r>
      </w:hyperlink>
      <w:r>
        <w:t xml:space="preserve"> и </w:t>
      </w:r>
      <w:hyperlink r:id="rId18">
        <w:r>
          <w:rPr>
            <w:color w:val="0000FF"/>
          </w:rPr>
          <w:t>7 статьи 55</w:t>
        </w:r>
      </w:hyperlink>
      <w:r>
        <w:t xml:space="preserve">, частей </w:t>
      </w:r>
      <w:hyperlink r:id="rId19">
        <w:r>
          <w:rPr>
            <w:color w:val="0000FF"/>
          </w:rPr>
          <w:t>1</w:t>
        </w:r>
      </w:hyperlink>
      <w:r>
        <w:t xml:space="preserve">, </w:t>
      </w:r>
      <w:hyperlink r:id="rId20">
        <w:r>
          <w:rPr>
            <w:color w:val="0000FF"/>
          </w:rPr>
          <w:t>2</w:t>
        </w:r>
      </w:hyperlink>
      <w:r>
        <w:t xml:space="preserve"> и </w:t>
      </w:r>
      <w:hyperlink r:id="rId21">
        <w:r>
          <w:rPr>
            <w:color w:val="0000FF"/>
          </w:rPr>
          <w:t>5 статьи 55.1</w:t>
        </w:r>
      </w:hyperlink>
      <w:r>
        <w:t xml:space="preserve">, </w:t>
      </w:r>
      <w:hyperlink r:id="rId22">
        <w:r>
          <w:rPr>
            <w:color w:val="0000FF"/>
          </w:rPr>
          <w:t>частей 1</w:t>
        </w:r>
      </w:hyperlink>
      <w:r>
        <w:t xml:space="preserve"> - </w:t>
      </w:r>
      <w:hyperlink r:id="rId23">
        <w:r>
          <w:rPr>
            <w:color w:val="0000FF"/>
          </w:rPr>
          <w:t>3.1 статьи 71</w:t>
        </w:r>
      </w:hyperlink>
      <w:r>
        <w:t xml:space="preserve">, </w:t>
      </w:r>
      <w:hyperlink r:id="rId24">
        <w:r>
          <w:rPr>
            <w:color w:val="0000FF"/>
          </w:rPr>
          <w:t>частей 1</w:t>
        </w:r>
      </w:hyperlink>
      <w:r>
        <w:t xml:space="preserve"> и </w:t>
      </w:r>
      <w:hyperlink r:id="rId25">
        <w:r>
          <w:rPr>
            <w:color w:val="0000FF"/>
          </w:rPr>
          <w:t>3 статьи 79</w:t>
        </w:r>
      </w:hyperlink>
      <w:r>
        <w:t xml:space="preserve">, </w:t>
      </w:r>
      <w:hyperlink r:id="rId26">
        <w:r>
          <w:rPr>
            <w:color w:val="0000FF"/>
          </w:rPr>
          <w:t>части 3 статьи 82.6</w:t>
        </w:r>
      </w:hyperlink>
      <w:r>
        <w:t xml:space="preserve">, </w:t>
      </w:r>
      <w:hyperlink r:id="rId27">
        <w:r>
          <w:rPr>
            <w:color w:val="0000FF"/>
          </w:rPr>
          <w:t>части 18 статьи 83</w:t>
        </w:r>
      </w:hyperlink>
      <w:r>
        <w:t xml:space="preserve">, </w:t>
      </w:r>
      <w:hyperlink r:id="rId28">
        <w:r>
          <w:rPr>
            <w:color w:val="0000FF"/>
          </w:rPr>
          <w:t>части 26 статьи 83.1</w:t>
        </w:r>
      </w:hyperlink>
      <w:r>
        <w:t xml:space="preserve"> Федерального закона и отсутствия падения цены контракт заключается по цене, не превышающей цены</w:t>
      </w:r>
      <w:proofErr w:type="gramEnd"/>
      <w:r>
        <w:t>, указанной участником в ответе на запрос, за исключением закупок, в которых содержатся только позиции (более одной позиции) спецификации по контракту на поставку лекарственных препаратов, включенных в перечень жизненно необходимых и важнейших лекарственных препаратов, цена на которые не превышает цену, установленную в соответствии с требованиями действующего законодательства;</w:t>
      </w:r>
    </w:p>
    <w:p w:rsidR="0004379C" w:rsidRDefault="0004379C">
      <w:pPr>
        <w:pStyle w:val="ConsPlusNormal"/>
        <w:spacing w:before="220"/>
        <w:ind w:firstLine="540"/>
        <w:jc w:val="both"/>
      </w:pPr>
      <w:r>
        <w:t xml:space="preserve">указание о том, что из ответа на запрос должны однозначно определяться цена единицы товара, цена контракта на условиях, указанных в запросе, срок действия предлагаемой цены, </w:t>
      </w:r>
      <w:r>
        <w:lastRenderedPageBreak/>
        <w:t>расчет такой цены, а также ее структура с целью предупреждения намеренного завышения или занижения цен товаров.</w:t>
      </w:r>
    </w:p>
    <w:p w:rsidR="0004379C" w:rsidRDefault="0004379C">
      <w:pPr>
        <w:pStyle w:val="ConsPlusNormal"/>
        <w:jc w:val="both"/>
      </w:pPr>
    </w:p>
    <w:p w:rsidR="0004379C" w:rsidRDefault="0004379C">
      <w:pPr>
        <w:pStyle w:val="ConsPlusNormal"/>
        <w:jc w:val="both"/>
      </w:pPr>
    </w:p>
    <w:p w:rsidR="0004379C" w:rsidRDefault="0004379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F265F" w:rsidRDefault="006F265F"/>
    <w:sectPr w:rsidR="006F265F" w:rsidSect="00B134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79C"/>
    <w:rsid w:val="0004379C"/>
    <w:rsid w:val="006F2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4379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04379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04379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4379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04379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04379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256&amp;n=154583&amp;dst=100006" TargetMode="External"/><Relationship Id="rId13" Type="http://schemas.openxmlformats.org/officeDocument/2006/relationships/hyperlink" Target="https://login.consultant.ru/link/?req=doc&amp;base=LAW&amp;n=450824&amp;dst=100218" TargetMode="External"/><Relationship Id="rId18" Type="http://schemas.openxmlformats.org/officeDocument/2006/relationships/hyperlink" Target="https://login.consultant.ru/link/?req=doc&amp;base=LAW&amp;n=450824&amp;dst=100712" TargetMode="External"/><Relationship Id="rId26" Type="http://schemas.openxmlformats.org/officeDocument/2006/relationships/hyperlink" Target="https://login.consultant.ru/link/?req=doc&amp;base=LAW&amp;n=450824&amp;dst=877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450824&amp;dst=691" TargetMode="External"/><Relationship Id="rId7" Type="http://schemas.openxmlformats.org/officeDocument/2006/relationships/hyperlink" Target="https://login.consultant.ru/link/?req=doc&amp;base=LAW&amp;n=450824&amp;dst=101697" TargetMode="External"/><Relationship Id="rId12" Type="http://schemas.openxmlformats.org/officeDocument/2006/relationships/hyperlink" Target="https://login.consultant.ru/link/?req=doc&amp;base=LAW&amp;n=450824&amp;dst=101697" TargetMode="External"/><Relationship Id="rId17" Type="http://schemas.openxmlformats.org/officeDocument/2006/relationships/hyperlink" Target="https://login.consultant.ru/link/?req=doc&amp;base=LAW&amp;n=450824&amp;dst=100700" TargetMode="External"/><Relationship Id="rId25" Type="http://schemas.openxmlformats.org/officeDocument/2006/relationships/hyperlink" Target="https://login.consultant.ru/link/?req=doc&amp;base=LAW&amp;n=450824&amp;dst=101044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RLAW256&amp;n=154583&amp;dst=100011" TargetMode="External"/><Relationship Id="rId20" Type="http://schemas.openxmlformats.org/officeDocument/2006/relationships/hyperlink" Target="https://login.consultant.ru/link/?req=doc&amp;base=LAW&amp;n=450824&amp;dst=680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256&amp;n=154583&amp;dst=100005" TargetMode="External"/><Relationship Id="rId11" Type="http://schemas.openxmlformats.org/officeDocument/2006/relationships/hyperlink" Target="https://login.consultant.ru/link/?req=doc&amp;base=RLAW256&amp;n=154583&amp;dst=100008" TargetMode="External"/><Relationship Id="rId24" Type="http://schemas.openxmlformats.org/officeDocument/2006/relationships/hyperlink" Target="https://login.consultant.ru/link/?req=doc&amp;base=LAW&amp;n=450824&amp;dst=101040" TargetMode="External"/><Relationship Id="rId5" Type="http://schemas.openxmlformats.org/officeDocument/2006/relationships/hyperlink" Target="https://login.consultant.ru/link/?req=doc&amp;base=RLAW256&amp;n=121303&amp;dst=100005" TargetMode="External"/><Relationship Id="rId15" Type="http://schemas.openxmlformats.org/officeDocument/2006/relationships/hyperlink" Target="https://login.consultant.ru/link/?req=doc&amp;base=RLAW256&amp;n=154583&amp;dst=100009" TargetMode="External"/><Relationship Id="rId23" Type="http://schemas.openxmlformats.org/officeDocument/2006/relationships/hyperlink" Target="https://login.consultant.ru/link/?req=doc&amp;base=LAW&amp;n=450824&amp;dst=783" TargetMode="External"/><Relationship Id="rId28" Type="http://schemas.openxmlformats.org/officeDocument/2006/relationships/hyperlink" Target="https://login.consultant.ru/link/?req=doc&amp;base=LAW&amp;n=450824&amp;dst=954" TargetMode="External"/><Relationship Id="rId10" Type="http://schemas.openxmlformats.org/officeDocument/2006/relationships/hyperlink" Target="https://login.consultant.ru/link/?req=doc&amp;base=RLAW256&amp;n=121303&amp;dst=100006" TargetMode="External"/><Relationship Id="rId19" Type="http://schemas.openxmlformats.org/officeDocument/2006/relationships/hyperlink" Target="https://login.consultant.ru/link/?req=doc&amp;base=LAW&amp;n=450824&amp;dst=67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50824&amp;dst=93" TargetMode="External"/><Relationship Id="rId14" Type="http://schemas.openxmlformats.org/officeDocument/2006/relationships/hyperlink" Target="https://login.consultant.ru/link/?req=doc&amp;base=RLAW256&amp;n=121303&amp;dst=100007" TargetMode="External"/><Relationship Id="rId22" Type="http://schemas.openxmlformats.org/officeDocument/2006/relationships/hyperlink" Target="https://login.consultant.ru/link/?req=doc&amp;base=LAW&amp;n=450824&amp;dst=100958" TargetMode="External"/><Relationship Id="rId27" Type="http://schemas.openxmlformats.org/officeDocument/2006/relationships/hyperlink" Target="https://login.consultant.ru/link/?req=doc&amp;base=LAW&amp;n=450824&amp;dst=891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1679</Words>
  <Characters>9575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Федорова Татьяна Анатольевна</dc:creator>
  <cp:lastModifiedBy>Федорова Татьяна Анатольевна</cp:lastModifiedBy>
  <cp:revision>1</cp:revision>
  <dcterms:created xsi:type="dcterms:W3CDTF">2024-07-17T06:27:00Z</dcterms:created>
  <dcterms:modified xsi:type="dcterms:W3CDTF">2024-07-17T06:27:00Z</dcterms:modified>
</cp:coreProperties>
</file>