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24D" w:rsidRPr="00E11528" w:rsidRDefault="005375AF" w:rsidP="00E11528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32"/>
          <w:szCs w:val="32"/>
        </w:rPr>
      </w:pPr>
      <w:bookmarkStart w:id="0" w:name="_Ref505884625"/>
      <w:bookmarkStart w:id="1" w:name="_Toc13208324"/>
      <w:r w:rsidRPr="00E11528">
        <w:rPr>
          <w:rFonts w:ascii="Times New Roman" w:eastAsia="Times New Roman" w:hAnsi="Times New Roman" w:cs="Times New Roman"/>
          <w:bCs/>
          <w:sz w:val="32"/>
          <w:szCs w:val="32"/>
        </w:rPr>
        <w:t>ПРИЛОЖЕНИЕ</w:t>
      </w:r>
      <w:r w:rsidR="0082524D" w:rsidRPr="00E11528">
        <w:rPr>
          <w:rFonts w:ascii="Times New Roman" w:eastAsia="Times New Roman" w:hAnsi="Times New Roman" w:cs="Times New Roman"/>
          <w:bCs/>
          <w:sz w:val="32"/>
          <w:szCs w:val="32"/>
        </w:rPr>
        <w:t xml:space="preserve"> 7</w:t>
      </w:r>
    </w:p>
    <w:p w:rsidR="0082524D" w:rsidRPr="00E11528" w:rsidRDefault="0082524D" w:rsidP="00E11528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E11528">
        <w:rPr>
          <w:rFonts w:ascii="Times New Roman" w:eastAsia="Times New Roman" w:hAnsi="Times New Roman" w:cs="Times New Roman"/>
          <w:bCs/>
          <w:sz w:val="32"/>
          <w:szCs w:val="32"/>
        </w:rPr>
        <w:t>к Концессионному соглашению</w:t>
      </w:r>
    </w:p>
    <w:p w:rsidR="0082524D" w:rsidRPr="00E11528" w:rsidRDefault="0082524D" w:rsidP="00E11528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E11528">
        <w:rPr>
          <w:rFonts w:ascii="Times New Roman" w:eastAsia="Times New Roman" w:hAnsi="Times New Roman" w:cs="Times New Roman"/>
          <w:bCs/>
          <w:sz w:val="32"/>
          <w:szCs w:val="32"/>
        </w:rPr>
        <w:t xml:space="preserve">о создании (строительстве), реконструкции и эксплуатации </w:t>
      </w:r>
    </w:p>
    <w:p w:rsidR="0082524D" w:rsidRPr="00E11528" w:rsidRDefault="0082524D" w:rsidP="00E11528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E11528">
        <w:rPr>
          <w:rFonts w:ascii="Times New Roman" w:eastAsia="Times New Roman" w:hAnsi="Times New Roman" w:cs="Times New Roman"/>
          <w:bCs/>
          <w:sz w:val="32"/>
          <w:szCs w:val="32"/>
        </w:rPr>
        <w:t xml:space="preserve">футбольно-тренировочной базы </w:t>
      </w:r>
    </w:p>
    <w:p w:rsidR="0082524D" w:rsidRPr="00E11528" w:rsidRDefault="0082524D" w:rsidP="00E11528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E11528">
        <w:rPr>
          <w:rFonts w:ascii="Times New Roman" w:eastAsia="Times New Roman" w:hAnsi="Times New Roman" w:cs="Times New Roman"/>
          <w:bCs/>
          <w:sz w:val="32"/>
          <w:szCs w:val="32"/>
        </w:rPr>
        <w:t>«Академия футбола им. Ю. Коноплева»</w:t>
      </w:r>
    </w:p>
    <w:p w:rsidR="005375AF" w:rsidRPr="00E11528" w:rsidRDefault="005375AF" w:rsidP="00E11528">
      <w:pPr>
        <w:spacing w:after="0" w:line="240" w:lineRule="auto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E11528">
        <w:rPr>
          <w:rFonts w:ascii="Times New Roman" w:hAnsi="Times New Roman" w:cs="Times New Roman"/>
          <w:bCs/>
          <w:sz w:val="32"/>
          <w:szCs w:val="32"/>
        </w:rPr>
        <w:t>от___________ №___________</w:t>
      </w:r>
    </w:p>
    <w:p w:rsidR="005375AF" w:rsidRPr="00E11528" w:rsidRDefault="005375AF" w:rsidP="00E11528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82524D" w:rsidRPr="00E11528" w:rsidRDefault="0082524D" w:rsidP="00E11528">
      <w:pPr>
        <w:keepNext/>
        <w:keepLines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82524D" w:rsidRPr="00F61366" w:rsidRDefault="0082524D" w:rsidP="0082524D">
      <w:pPr>
        <w:keepNext/>
        <w:keepLines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color w:val="365F91"/>
          <w:sz w:val="28"/>
          <w:szCs w:val="28"/>
        </w:rPr>
      </w:pPr>
      <w:r w:rsidRPr="00F61366">
        <w:rPr>
          <w:rFonts w:ascii="Times New Roman" w:eastAsia="Times New Roman" w:hAnsi="Times New Roman" w:cs="Times New Roman"/>
          <w:bCs/>
          <w:sz w:val="28"/>
          <w:szCs w:val="28"/>
        </w:rPr>
        <w:t>Порядок разрешения споров</w:t>
      </w:r>
      <w:bookmarkEnd w:id="0"/>
      <w:bookmarkEnd w:id="1"/>
    </w:p>
    <w:p w:rsidR="0082524D" w:rsidRPr="00F61366" w:rsidRDefault="0082524D" w:rsidP="0082524D">
      <w:pPr>
        <w:numPr>
          <w:ilvl w:val="0"/>
          <w:numId w:val="1"/>
        </w:num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>Общие положения</w:t>
      </w:r>
    </w:p>
    <w:p w:rsidR="0082524D" w:rsidRPr="00F61366" w:rsidRDefault="0082524D" w:rsidP="003D206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>Наличие Спора не освобождает Стороны от своевременного и полного исполнения обязательств по Соглашению, в том числе не является основанием для прекращения строительства или эксплуатации со стороны Концессионера, если иное прямо не предусмотрено Соглашением.</w:t>
      </w:r>
    </w:p>
    <w:p w:rsidR="0082524D" w:rsidRPr="00F61366" w:rsidRDefault="0082524D" w:rsidP="003D206B">
      <w:pPr>
        <w:numPr>
          <w:ilvl w:val="0"/>
          <w:numId w:val="1"/>
        </w:numPr>
        <w:spacing w:after="0" w:line="360" w:lineRule="auto"/>
        <w:ind w:left="0"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>Согласительные процедуры</w:t>
      </w:r>
    </w:p>
    <w:p w:rsidR="0082524D" w:rsidRPr="00F61366" w:rsidRDefault="0082524D" w:rsidP="003D206B">
      <w:pPr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>Согласительные процедуры заключаются в проведении совещаний с участием Сторон с целью максимального использования возможностей по выработке компромиссных решений.</w:t>
      </w:r>
    </w:p>
    <w:p w:rsidR="0082524D" w:rsidRPr="00F61366" w:rsidRDefault="0082524D" w:rsidP="003D206B">
      <w:pPr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>Участниками совещаний в любом случае должны быть руководители Сторон, специалисты Сторон, имеющие отношение к предмету спора.</w:t>
      </w:r>
    </w:p>
    <w:p w:rsidR="0082524D" w:rsidRPr="00F61366" w:rsidRDefault="0082524D" w:rsidP="003D206B">
      <w:pPr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>Стороны обязаны приложить все зависящие от них усилия, чтобы урегулировать спор в порядке согласительных процедур.</w:t>
      </w:r>
    </w:p>
    <w:p w:rsidR="0082524D" w:rsidRPr="00F61366" w:rsidRDefault="0082524D" w:rsidP="003D206B">
      <w:pPr>
        <w:numPr>
          <w:ilvl w:val="0"/>
          <w:numId w:val="1"/>
        </w:numPr>
        <w:spacing w:after="0" w:line="360" w:lineRule="auto"/>
        <w:ind w:left="0"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>Порядок проведения согласительных процедур</w:t>
      </w:r>
    </w:p>
    <w:p w:rsidR="0082524D" w:rsidRPr="00F61366" w:rsidRDefault="0082524D" w:rsidP="003D206B">
      <w:pPr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_Ref505415858"/>
      <w:r w:rsidRPr="00F61366">
        <w:rPr>
          <w:rFonts w:ascii="Times New Roman" w:eastAsia="Calibri" w:hAnsi="Times New Roman" w:cs="Times New Roman"/>
          <w:sz w:val="28"/>
          <w:szCs w:val="28"/>
        </w:rPr>
        <w:t>Сторона, полагающая, что возник спор (далее – Требующая Сторона), обязана направить другой Стороне (далее – Отвечающая Сторона) уведомление о необходимости начала согласительных процедур, включающее в себя:</w:t>
      </w:r>
      <w:bookmarkEnd w:id="2"/>
    </w:p>
    <w:p w:rsidR="0082524D" w:rsidRPr="00F61366" w:rsidRDefault="0082524D" w:rsidP="003D206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>описание предмета Спора;</w:t>
      </w:r>
    </w:p>
    <w:p w:rsidR="0082524D" w:rsidRPr="00F61366" w:rsidRDefault="0082524D" w:rsidP="003D206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>требования Требующей Стороны по предмету Спора;</w:t>
      </w:r>
    </w:p>
    <w:p w:rsidR="0082524D" w:rsidRPr="00F61366" w:rsidRDefault="0082524D" w:rsidP="003D206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>обоснование требований Требующей Стороны;</w:t>
      </w:r>
    </w:p>
    <w:p w:rsidR="0082524D" w:rsidRPr="00F61366" w:rsidRDefault="0082524D" w:rsidP="003D206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lastRenderedPageBreak/>
        <w:t>информацию о дате и месте проведения совещания для рассмотрения требований Требующей Стороны, которая не может быть ранее 10 (десяти) и позднее 20 (двадцати) рабочих дней с момента получения Отвечающей Стороной уведомлени</w:t>
      </w:r>
      <w:bookmarkStart w:id="3" w:name="_GoBack"/>
      <w:bookmarkEnd w:id="3"/>
      <w:r w:rsidRPr="00F61366">
        <w:rPr>
          <w:rFonts w:ascii="Times New Roman" w:eastAsia="Calibri" w:hAnsi="Times New Roman" w:cs="Times New Roman"/>
          <w:sz w:val="28"/>
          <w:szCs w:val="28"/>
        </w:rPr>
        <w:t>я;</w:t>
      </w:r>
    </w:p>
    <w:p w:rsidR="0082524D" w:rsidRPr="00F61366" w:rsidRDefault="0082524D" w:rsidP="003D206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>повестку совещания и перечень участников совещания со стороны Требующей Стороны.</w:t>
      </w:r>
    </w:p>
    <w:p w:rsidR="0082524D" w:rsidRPr="00F61366" w:rsidRDefault="0082524D" w:rsidP="003D206B">
      <w:pPr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_Ref505416417"/>
      <w:proofErr w:type="gramStart"/>
      <w:r w:rsidRPr="00F61366">
        <w:rPr>
          <w:rFonts w:ascii="Times New Roman" w:eastAsia="Calibri" w:hAnsi="Times New Roman" w:cs="Times New Roman"/>
          <w:sz w:val="28"/>
          <w:szCs w:val="28"/>
        </w:rPr>
        <w:t xml:space="preserve">Не позднее 5 (пяти) рабочих дней с момента получения уведомления согласно пункту </w:t>
      </w:r>
      <w:r w:rsidRPr="00F61366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Pr="00F61366">
        <w:rPr>
          <w:rFonts w:ascii="Times New Roman" w:eastAsia="Calibri" w:hAnsi="Times New Roman" w:cs="Times New Roman"/>
          <w:sz w:val="28"/>
          <w:szCs w:val="28"/>
        </w:rPr>
        <w:instrText xml:space="preserve"> REF _Ref505415858 \r \h  \* MERGEFORMAT </w:instrText>
      </w:r>
      <w:r w:rsidRPr="00F61366">
        <w:rPr>
          <w:rFonts w:ascii="Times New Roman" w:eastAsia="Calibri" w:hAnsi="Times New Roman" w:cs="Times New Roman"/>
          <w:sz w:val="28"/>
          <w:szCs w:val="28"/>
        </w:rPr>
      </w:r>
      <w:r w:rsidRPr="00F61366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Pr="00F61366">
        <w:rPr>
          <w:rFonts w:ascii="Times New Roman" w:eastAsia="Calibri" w:hAnsi="Times New Roman" w:cs="Times New Roman"/>
          <w:sz w:val="28"/>
          <w:szCs w:val="28"/>
        </w:rPr>
        <w:t>3.1</w:t>
      </w:r>
      <w:r w:rsidRPr="00F61366">
        <w:rPr>
          <w:rFonts w:ascii="Times New Roman" w:eastAsia="Calibri" w:hAnsi="Times New Roman" w:cs="Times New Roman"/>
          <w:sz w:val="28"/>
          <w:szCs w:val="28"/>
        </w:rPr>
        <w:fldChar w:fldCharType="end"/>
      </w:r>
      <w:r w:rsidRPr="00F61366">
        <w:rPr>
          <w:rFonts w:ascii="Times New Roman" w:eastAsia="Calibri" w:hAnsi="Times New Roman" w:cs="Times New Roman"/>
          <w:sz w:val="28"/>
          <w:szCs w:val="28"/>
        </w:rPr>
        <w:t xml:space="preserve"> настоящего положения Отвечающая Сторона обязана направить Требующей Стороне ответ на уведомление, содержащий согласие принять участие в совещании в соответствии с предложенной повесткой либо предложениями по ее дополнению, перечень участников совещания со стороны Отвечающей Стороны, а также обоснование своей позиции по предмету Спора.</w:t>
      </w:r>
      <w:bookmarkEnd w:id="4"/>
      <w:proofErr w:type="gramEnd"/>
    </w:p>
    <w:p w:rsidR="0082524D" w:rsidRPr="00F61366" w:rsidRDefault="0082524D" w:rsidP="003D206B">
      <w:pPr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>Результаты совещания и достигнутые в отношении предмета спора соглашения закрепляются протоколом, подписанным Сторонами.</w:t>
      </w:r>
    </w:p>
    <w:p w:rsidR="0082524D" w:rsidRPr="00F61366" w:rsidRDefault="0082524D" w:rsidP="003D206B">
      <w:pPr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>Достигнутые в отношении предмета Спора соглашения являются обязательными для Сторон.</w:t>
      </w:r>
    </w:p>
    <w:p w:rsidR="0082524D" w:rsidRPr="00F61366" w:rsidRDefault="0082524D" w:rsidP="003D206B">
      <w:pPr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61366">
        <w:rPr>
          <w:rFonts w:ascii="Times New Roman" w:eastAsia="Calibri" w:hAnsi="Times New Roman" w:cs="Times New Roman"/>
          <w:sz w:val="28"/>
          <w:szCs w:val="28"/>
        </w:rPr>
        <w:t xml:space="preserve">Если Отвечающая Сторона не представила ответ на уведомление согласно пункту </w:t>
      </w:r>
      <w:r w:rsidRPr="00F61366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Pr="00F61366">
        <w:rPr>
          <w:rFonts w:ascii="Times New Roman" w:eastAsia="Calibri" w:hAnsi="Times New Roman" w:cs="Times New Roman"/>
          <w:sz w:val="28"/>
          <w:szCs w:val="28"/>
        </w:rPr>
        <w:instrText xml:space="preserve"> REF _Ref505416417 \r \h  \* MERGEFORMAT </w:instrText>
      </w:r>
      <w:r w:rsidRPr="00F61366">
        <w:rPr>
          <w:rFonts w:ascii="Times New Roman" w:eastAsia="Calibri" w:hAnsi="Times New Roman" w:cs="Times New Roman"/>
          <w:sz w:val="28"/>
          <w:szCs w:val="28"/>
        </w:rPr>
      </w:r>
      <w:r w:rsidRPr="00F61366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Pr="00F61366">
        <w:rPr>
          <w:rFonts w:ascii="Times New Roman" w:eastAsia="Calibri" w:hAnsi="Times New Roman" w:cs="Times New Roman"/>
          <w:sz w:val="28"/>
          <w:szCs w:val="28"/>
        </w:rPr>
        <w:t>3.2</w:t>
      </w:r>
      <w:r w:rsidRPr="00F61366">
        <w:rPr>
          <w:rFonts w:ascii="Times New Roman" w:eastAsia="Calibri" w:hAnsi="Times New Roman" w:cs="Times New Roman"/>
          <w:sz w:val="28"/>
          <w:szCs w:val="28"/>
        </w:rPr>
        <w:fldChar w:fldCharType="end"/>
      </w:r>
      <w:r w:rsidRPr="00F61366">
        <w:rPr>
          <w:rFonts w:ascii="Times New Roman" w:eastAsia="Calibri" w:hAnsi="Times New Roman" w:cs="Times New Roman"/>
          <w:sz w:val="28"/>
          <w:szCs w:val="28"/>
        </w:rPr>
        <w:t xml:space="preserve"> настоящего приложения либо участники совещания со стороны Отвечающей Стороны не явились на совещание, либо при проведении совещания соглашения в отношении предмета Спора не достигнуты, согласительные процедуры считаются исчерпанными при отсутствии соглашения Сторон об ином, и любая Сторона вправе передать Спор на рассмотрение в Арбитражный суд Самарской области.</w:t>
      </w:r>
      <w:proofErr w:type="gramEnd"/>
    </w:p>
    <w:p w:rsidR="0082524D" w:rsidRPr="00F61366" w:rsidRDefault="0082524D" w:rsidP="003D206B">
      <w:pPr>
        <w:numPr>
          <w:ilvl w:val="0"/>
          <w:numId w:val="1"/>
        </w:numPr>
        <w:spacing w:after="0" w:line="360" w:lineRule="auto"/>
        <w:ind w:left="0"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>Разрешение Споров в судебном порядке</w:t>
      </w:r>
    </w:p>
    <w:p w:rsidR="0082524D" w:rsidRPr="00F61366" w:rsidRDefault="0082524D" w:rsidP="003D206B">
      <w:pPr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>В случае если согласительные процедуры не привели к разрешению Спора, любая Сторона может передать Спор на рассмотрение в Арбитражный суд Самарской области.</w:t>
      </w:r>
    </w:p>
    <w:p w:rsidR="0082524D" w:rsidRPr="00F61366" w:rsidRDefault="0082524D" w:rsidP="003D206B">
      <w:pPr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 xml:space="preserve">В случае если в соответствии с законодательством устанавливается исключительная подсудность какого-либо Спора иному </w:t>
      </w:r>
      <w:r w:rsidRPr="00F61366">
        <w:rPr>
          <w:rFonts w:ascii="Times New Roman" w:eastAsia="Calibri" w:hAnsi="Times New Roman" w:cs="Times New Roman"/>
          <w:sz w:val="28"/>
          <w:szCs w:val="28"/>
        </w:rPr>
        <w:lastRenderedPageBreak/>
        <w:t>суду, чем Арбитражный суд Самарской области, то такой Спор подлежит передаче в суд в соответствии с исключительной подсудностью. При этом, если спор состоит из нескольких разногласий, то Сторона, намеренная передать спор в суд, обязана обеспечить передачу в суд в порядке исключительной подсудности только такие разногласия, которые в соответствии с законодательством должны рассматриваться в суде, имеющие исключительную подсудность.</w:t>
      </w:r>
    </w:p>
    <w:p w:rsidR="0082524D" w:rsidRPr="00F61366" w:rsidRDefault="0082524D" w:rsidP="003D206B">
      <w:pPr>
        <w:numPr>
          <w:ilvl w:val="1"/>
          <w:numId w:val="1"/>
        </w:numPr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>Стороны обязуются соблюдать конфиденциальность документов и информации, полученных в ходе арбитражного разбирательства, а также решений Арбитражного суда Самарской области и любых других процессуальных действий, если только раскрытие такой информации не требуется Сторонам для участия в арбитражных разбирательствах или в иных случаях, когда Стороны обязаны раскрыть такую информацию в соответствии с законодательством.</w:t>
      </w:r>
    </w:p>
    <w:p w:rsidR="00A849BD" w:rsidRDefault="00E11528"/>
    <w:sectPr w:rsidR="00A84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FD5A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24D"/>
    <w:rsid w:val="001F5E59"/>
    <w:rsid w:val="003D206B"/>
    <w:rsid w:val="005375AF"/>
    <w:rsid w:val="0076100E"/>
    <w:rsid w:val="0082524D"/>
    <w:rsid w:val="00840C17"/>
    <w:rsid w:val="00897C02"/>
    <w:rsid w:val="00E1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24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24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Akron Holding</Company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Тюличкин Александр Сергеевич</dc:creator>
  <cp:keywords/>
  <dc:description/>
  <cp:lastModifiedBy>Анфинагентова</cp:lastModifiedBy>
  <cp:revision>7</cp:revision>
  <dcterms:created xsi:type="dcterms:W3CDTF">2021-08-23T08:38:00Z</dcterms:created>
  <dcterms:modified xsi:type="dcterms:W3CDTF">2022-02-22T06:23:00Z</dcterms:modified>
</cp:coreProperties>
</file>